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ind w:right="720"/>
        <w:contextualSpacing w:val="0"/>
      </w:pPr>
      <w:r w:rsidDel="00000000" w:rsidR="00000000" w:rsidRPr="00000000">
        <w:rPr>
          <w:b w:val="1"/>
          <w:i w:val="1"/>
          <w:sz w:val="28"/>
          <w:szCs w:val="28"/>
          <w:rtl w:val="0"/>
        </w:rPr>
        <w:t xml:space="preserve">Monitoring and Audit Visits</w:t>
      </w:r>
    </w:p>
    <w:p w:rsidR="00000000" w:rsidDel="00000000" w:rsidP="00000000" w:rsidRDefault="00000000" w:rsidRPr="00000000">
      <w:pPr>
        <w:spacing w:after="0" w:line="240" w:lineRule="auto"/>
        <w:ind w:right="720"/>
        <w:contextualSpacing w:val="0"/>
      </w:pPr>
      <w:r w:rsidDel="00000000" w:rsidR="00000000" w:rsidRPr="00000000">
        <w:rPr>
          <w:rtl w:val="0"/>
        </w:rPr>
      </w:r>
    </w:p>
    <w:p w:rsidR="00000000" w:rsidDel="00000000" w:rsidP="00000000" w:rsidRDefault="00000000" w:rsidRPr="00000000">
      <w:pPr>
        <w:numPr>
          <w:ilvl w:val="0"/>
          <w:numId w:val="2"/>
        </w:numPr>
        <w:spacing w:after="0" w:before="0" w:line="276" w:lineRule="auto"/>
        <w:ind w:left="360" w:right="720" w:hanging="36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PURPOSE</w:t>
      </w:r>
    </w:p>
    <w:p w:rsidR="00000000" w:rsidDel="00000000" w:rsidP="00000000" w:rsidRDefault="00000000" w:rsidRPr="00000000">
      <w:pPr>
        <w:spacing w:after="0" w:lineRule="auto"/>
        <w:ind w:right="720"/>
        <w:contextualSpacing w:val="0"/>
      </w:pPr>
      <w:r w:rsidDel="00000000" w:rsidR="00000000" w:rsidRPr="00000000">
        <w:rPr>
          <w:rtl w:val="0"/>
        </w:rPr>
      </w:r>
    </w:p>
    <w:p w:rsidR="00000000" w:rsidDel="00000000" w:rsidP="00000000" w:rsidRDefault="00000000" w:rsidRPr="00000000">
      <w:pPr>
        <w:spacing w:after="0" w:line="240" w:lineRule="auto"/>
        <w:ind w:left="360" w:right="936" w:firstLine="0"/>
        <w:contextualSpacing w:val="0"/>
      </w:pPr>
      <w:r w:rsidDel="00000000" w:rsidR="00000000" w:rsidRPr="00000000">
        <w:rPr>
          <w:rFonts w:ascii="Calibri" w:cs="Calibri" w:eastAsia="Calibri" w:hAnsi="Calibri"/>
          <w:rtl w:val="0"/>
        </w:rPr>
        <w:t xml:space="preserve">This Standard Operating Procedure (SOP) describes the procedures, processes, and responsibilities </w:t>
      </w:r>
      <w:r w:rsidDel="00000000" w:rsidR="00000000" w:rsidRPr="00000000">
        <w:rPr>
          <w:rtl w:val="0"/>
        </w:rPr>
        <w:t xml:space="preserve">of research team members who coordinate the clinical trial site monitoring and audit visits. University of Michigan research oversight entities may audit clinical trials at any time over the course of the trial. The nature of the audit may be ‘for cause’ or ‘not for cause’. External entities such as funding agencies, sponsors, and the FDA may also audit clinical trials at any given time. Trial documentation and quality control processes, including monitoring, must be maintained to ensure compliance with the protocol and regulatory authorities is evident in the event of an audit. </w:t>
      </w:r>
    </w:p>
    <w:p w:rsidR="00000000" w:rsidDel="00000000" w:rsidP="00000000" w:rsidRDefault="00000000" w:rsidRPr="00000000">
      <w:pPr>
        <w:spacing w:after="0" w:line="240" w:lineRule="auto"/>
        <w:ind w:left="360" w:right="936" w:firstLine="0"/>
        <w:contextualSpacing w:val="0"/>
      </w:pPr>
      <w:r w:rsidDel="00000000" w:rsidR="00000000" w:rsidRPr="00000000">
        <w:rPr>
          <w:rtl w:val="0"/>
        </w:rPr>
        <w:t xml:space="preserve">(</w:t>
      </w:r>
      <w:r w:rsidDel="00000000" w:rsidR="00000000" w:rsidRPr="00000000">
        <w:rPr>
          <w:b w:val="1"/>
          <w:rtl w:val="0"/>
        </w:rPr>
        <w:t xml:space="preserve">MANDATORY LANGUAGE</w:t>
      </w:r>
      <w:r w:rsidDel="00000000" w:rsidR="00000000" w:rsidRPr="00000000">
        <w:rPr>
          <w:rtl w:val="0"/>
        </w:rPr>
        <w:t xml:space="preserve">)</w:t>
      </w: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76" w:lineRule="auto"/>
        <w:ind w:left="360" w:right="720" w:hanging="36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SCOPE</w:t>
      </w:r>
    </w:p>
    <w:p w:rsidR="00000000" w:rsidDel="00000000" w:rsidP="00000000" w:rsidRDefault="00000000" w:rsidRPr="00000000">
      <w:pPr>
        <w:spacing w:after="0" w:before="0" w:line="276" w:lineRule="auto"/>
        <w:ind w:left="360" w:right="720" w:firstLine="0"/>
        <w:contextualSpacing w:val="0"/>
      </w:pPr>
      <w:r w:rsidDel="00000000" w:rsidR="00000000" w:rsidRPr="00000000">
        <w:rPr>
          <w:rtl w:val="0"/>
        </w:rPr>
      </w:r>
    </w:p>
    <w:p w:rsidR="00000000" w:rsidDel="00000000" w:rsidP="00000000" w:rsidRDefault="00000000" w:rsidRPr="00000000">
      <w:pPr>
        <w:spacing w:after="0" w:line="240" w:lineRule="auto"/>
        <w:ind w:left="360" w:right="936" w:firstLine="0"/>
        <w:contextualSpacing w:val="0"/>
      </w:pPr>
      <w:r w:rsidDel="00000000" w:rsidR="00000000" w:rsidRPr="00000000">
        <w:rPr>
          <w:rtl w:val="0"/>
        </w:rPr>
        <w:t xml:space="preserve">This Standard Operating Procedure applies to all members of the research team involved with monitoring and audit visits. This includes tasks involving the preparation, attendance, documentation, and follow-up for the visit. FDA inspections and visits are out of scope for this SOP. </w:t>
      </w:r>
    </w:p>
    <w:p w:rsidR="00000000" w:rsidDel="00000000" w:rsidP="00000000" w:rsidRDefault="00000000" w:rsidRPr="00000000">
      <w:pPr>
        <w:spacing w:after="0" w:line="240" w:lineRule="auto"/>
        <w:ind w:left="360" w:right="936" w:firstLine="0"/>
        <w:contextualSpacing w:val="0"/>
      </w:pPr>
      <w:r w:rsidDel="00000000" w:rsidR="00000000" w:rsidRPr="00000000">
        <w:rPr>
          <w:rtl w:val="0"/>
        </w:rPr>
        <w:t xml:space="preserve">(</w:t>
      </w:r>
      <w:r w:rsidDel="00000000" w:rsidR="00000000" w:rsidRPr="00000000">
        <w:rPr>
          <w:b w:val="1"/>
          <w:rtl w:val="0"/>
        </w:rPr>
        <w:t xml:space="preserve">MANDATORY LANGUAGE</w:t>
      </w:r>
      <w:r w:rsidDel="00000000" w:rsidR="00000000" w:rsidRPr="00000000">
        <w:rPr>
          <w:rtl w:val="0"/>
        </w:rPr>
        <w:t xml:space="preserve">)</w:t>
      </w:r>
      <w:r w:rsidDel="00000000" w:rsidR="00000000" w:rsidRPr="00000000">
        <w:rPr>
          <w:rtl w:val="0"/>
        </w:rPr>
      </w:r>
    </w:p>
    <w:p w:rsidR="00000000" w:rsidDel="00000000" w:rsidP="00000000" w:rsidRDefault="00000000" w:rsidRPr="00000000">
      <w:pPr>
        <w:widowControl w:val="0"/>
        <w:spacing w:after="0" w:line="240" w:lineRule="auto"/>
        <w:ind w:right="72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details necessary to further define the scope of this SOP.]</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76" w:lineRule="auto"/>
        <w:ind w:left="360" w:right="720" w:hanging="36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POLICY</w:t>
      </w:r>
    </w:p>
    <w:p w:rsidR="00000000" w:rsidDel="00000000" w:rsidP="00000000" w:rsidRDefault="00000000" w:rsidRPr="00000000">
      <w:pPr>
        <w:spacing w:after="0" w:before="0" w:line="276"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t xml:space="preserve">This Standard Operating Procedure supports the Good Clinical Practices (GCP) guidelines established by the International Conference on Harmonization (ICH). Section 5.18.1 clarifies the purposes of trial monitoring, which are to </w:t>
      </w:r>
      <w:r w:rsidDel="00000000" w:rsidR="00000000" w:rsidRPr="00000000">
        <w:rPr>
          <w:i w:val="1"/>
          <w:rtl w:val="0"/>
        </w:rPr>
        <w:t xml:space="preserve">verify that: a) the rights and well-being of human subjects are protected; b) the reported trial data are accurate, complete and verifiable from source documents; and c) the conduct of the trial is in compliance with the currently approved protocol/amendment(s), with GCP, and with the applicable regulatory requirement(s).</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t xml:space="preserve">Furthermore, ICH Section 5.18.3 states that the determination of the nature and extent of monitoring should be based on considerations such as the purpose of the clinical trial, the size, complexity, and objectives of the trial. </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t xml:space="preserve">Audits are addressed in ICH Section 5.19, which states </w:t>
      </w:r>
      <w:r w:rsidDel="00000000" w:rsidR="00000000" w:rsidRPr="00000000">
        <w:rPr>
          <w:i w:val="1"/>
          <w:rtl w:val="0"/>
        </w:rPr>
        <w:t xml:space="preserve">the purpose of a sponsor’s audit, which is independent of and separate from routine monitoring or quality control functions, should be to evaluate trial conduct and compliance with the protocol, SOPs, GCP, and the applicable regulatory requirements. </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line="239" w:lineRule="auto"/>
        <w:ind w:left="360" w:right="720" w:firstLine="0"/>
        <w:contextualSpacing w:val="0"/>
      </w:pPr>
      <w:r w:rsidDel="00000000" w:rsidR="00000000" w:rsidRPr="00000000">
        <w:rPr>
          <w:rtl w:val="0"/>
        </w:rPr>
        <w:t xml:space="preserve">FDA Regulation</w:t>
        <w:tab/>
        <w:tab/>
        <w:tab/>
        <w:tab/>
        <w:tab/>
        <w:tab/>
      </w:r>
      <w:r w:rsidDel="00000000" w:rsidR="00000000" w:rsidRPr="00000000">
        <w:rPr>
          <w:rFonts w:ascii="MS Gothic" w:cs="MS Gothic" w:eastAsia="MS Gothic" w:hAnsi="MS Gothic"/>
          <w:rtl w:val="0"/>
        </w:rPr>
        <w:t xml:space="preserve">☐</w:t>
      </w:r>
      <w:r w:rsidDel="00000000" w:rsidR="00000000" w:rsidRPr="00000000">
        <w:rPr>
          <w:rtl w:val="0"/>
        </w:rPr>
        <w:t xml:space="preserve"> N/A</w:t>
      </w:r>
    </w:p>
    <w:p w:rsidR="00000000" w:rsidDel="00000000" w:rsidP="00000000" w:rsidRDefault="00000000" w:rsidRPr="00000000">
      <w:pPr>
        <w:ind w:left="360" w:firstLine="0"/>
        <w:contextualSpacing w:val="0"/>
      </w:pPr>
      <w:r w:rsidDel="00000000" w:rsidR="00000000" w:rsidRPr="00000000">
        <w:rPr>
          <w:i w:val="1"/>
          <w:color w:val="00b0f0"/>
          <w:rtl w:val="0"/>
        </w:rPr>
        <w:t xml:space="preserve">[If this SOP is not intended for FDA regulated clinical trials, check the N/A box]</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t xml:space="preserve">Per code 21CFR312.53(d) </w:t>
      </w:r>
      <w:r w:rsidDel="00000000" w:rsidR="00000000" w:rsidRPr="00000000">
        <w:rPr>
          <w:i w:val="1"/>
          <w:rtl w:val="0"/>
        </w:rPr>
        <w:t xml:space="preserve">A sponsor shall select a monitor qualified by training and experience to monitor the progress of the investigation.</w:t>
      </w:r>
    </w:p>
    <w:p w:rsidR="00000000" w:rsidDel="00000000" w:rsidP="00000000" w:rsidRDefault="00000000" w:rsidRPr="00000000">
      <w:pPr>
        <w:widowControl w:val="0"/>
        <w:spacing w:after="0" w:line="239" w:lineRule="auto"/>
        <w:ind w:right="72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t xml:space="preserve">As it pertains to investigational devices, Code 21CFR812.43(d) states: </w:t>
      </w:r>
      <w:r w:rsidDel="00000000" w:rsidR="00000000" w:rsidRPr="00000000">
        <w:rPr>
          <w:i w:val="1"/>
          <w:rtl w:val="0"/>
        </w:rPr>
        <w:t xml:space="preserve">A sponsor shall select monitors qualified by training and experience to monitor the investigational study in accordance with this part and other applicable FDA regulations. </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spacing w:after="0" w:line="240" w:lineRule="auto"/>
        <w:ind w:left="360" w:right="-20" w:firstLine="0"/>
        <w:contextualSpacing w:val="0"/>
      </w:pPr>
      <w:r w:rsidDel="00000000" w:rsidR="00000000" w:rsidRPr="00000000">
        <w:rPr>
          <w:rtl w:val="0"/>
        </w:rPr>
        <w:t xml:space="preserve">National Institutes of Health (NIH)</w:t>
        <w:tab/>
      </w:r>
      <w:r w:rsidDel="00000000" w:rsidR="00000000" w:rsidRPr="00000000">
        <w:rPr>
          <w:b w:val="1"/>
          <w:rtl w:val="0"/>
        </w:rPr>
        <w:tab/>
        <w:tab/>
        <w:tab/>
      </w:r>
      <w:r w:rsidDel="00000000" w:rsidR="00000000" w:rsidRPr="00000000">
        <w:rPr>
          <w:rFonts w:ascii="MS Gothic" w:cs="MS Gothic" w:eastAsia="MS Gothic" w:hAnsi="MS Gothic"/>
          <w:rtl w:val="0"/>
        </w:rPr>
        <w:t xml:space="preserve">☐</w:t>
      </w:r>
      <w:r w:rsidDel="00000000" w:rsidR="00000000" w:rsidRPr="00000000">
        <w:rPr>
          <w:rtl w:val="0"/>
        </w:rPr>
        <w:t xml:space="preserve"> N/A</w:t>
      </w:r>
      <w:r w:rsidDel="00000000" w:rsidR="00000000" w:rsidRPr="00000000">
        <w:rPr>
          <w:rtl w:val="0"/>
        </w:rPr>
      </w:r>
    </w:p>
    <w:p w:rsidR="00000000" w:rsidDel="00000000" w:rsidP="00000000" w:rsidRDefault="00000000" w:rsidRPr="00000000">
      <w:pPr>
        <w:spacing w:after="0" w:line="240" w:lineRule="auto"/>
        <w:ind w:left="360" w:right="-2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i w:val="1"/>
          <w:color w:val="00b0f0"/>
          <w:rtl w:val="0"/>
        </w:rPr>
        <w:t xml:space="preserve">[If this SOP is not intended for NIH clinical trials, check the N/A box]</w:t>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For each NIH-supported clinical trial, NIH requires a data and safety monitoring plan that will provide oversight and monitoring to ensure the safety of participants and the validity and integrity of the data. The level of monitoring should be commensurate with the risks and the size and complexity of the clinical trial. A detailed data and safety monitoring plan must be submitted to the applicant's IRB and subsequently to the awarding Institute/Center for approval prior to the accrual of human subjects.</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right="-20" w:firstLine="0"/>
        <w:contextualSpacing w:val="0"/>
      </w:pPr>
      <w:r w:rsidDel="00000000" w:rsidR="00000000" w:rsidRPr="00000000">
        <w:rPr>
          <w:rFonts w:ascii="Calibri" w:cs="Calibri" w:eastAsia="Calibri" w:hAnsi="Calibri"/>
          <w:rtl w:val="0"/>
        </w:rPr>
        <w:t xml:space="preserve">University of Michigan</w:t>
      </w:r>
      <w:r w:rsidDel="00000000" w:rsidR="00000000" w:rsidRPr="00000000">
        <w:rPr>
          <w:rFonts w:ascii="Calibri" w:cs="Calibri" w:eastAsia="Calibri" w:hAnsi="Calibri"/>
          <w:b w:val="1"/>
          <w:rtl w:val="0"/>
        </w:rPr>
        <w:t xml:space="preserve"> </w:t>
      </w:r>
    </w:p>
    <w:p w:rsidR="00000000" w:rsidDel="00000000" w:rsidP="00000000" w:rsidRDefault="00000000" w:rsidRPr="00000000">
      <w:pPr>
        <w:spacing w:after="0" w:line="240" w:lineRule="auto"/>
        <w:ind w:left="360" w:right="-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color w:val="333333"/>
          <w:rtl w:val="0"/>
        </w:rPr>
        <w:t xml:space="preserve">According to the University of Michigan Institutional Review Board (IRB)</w:t>
      </w: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i w:val="1"/>
          <w:rtl w:val="0"/>
        </w:rPr>
        <w:t xml:space="preserve">The IRB office may monitor studies both “for cause” (e.g. alleged non-compliance) and “not-for-cause” (e.g. random review for quality assurance purposes). </w:t>
      </w:r>
      <w:r w:rsidDel="00000000" w:rsidR="00000000" w:rsidRPr="00000000">
        <w:rPr>
          <w:rtl w:val="0"/>
        </w:rPr>
      </w:r>
    </w:p>
    <w:p w:rsidR="00000000" w:rsidDel="00000000" w:rsidP="00000000" w:rsidRDefault="00000000" w:rsidRPr="00000000">
      <w:pPr>
        <w:spacing w:after="0" w:line="240" w:lineRule="auto"/>
        <w:ind w:right="936" w:firstLine="360"/>
        <w:contextualSpacing w:val="0"/>
      </w:pPr>
      <w:r w:rsidDel="00000000" w:rsidR="00000000" w:rsidRPr="00000000">
        <w:rPr>
          <w:rtl w:val="0"/>
        </w:rPr>
      </w:r>
    </w:p>
    <w:p w:rsidR="00000000" w:rsidDel="00000000" w:rsidP="00000000" w:rsidRDefault="00000000" w:rsidRPr="00000000">
      <w:pPr>
        <w:widowControl w:val="0"/>
        <w:spacing w:after="0" w:line="237" w:lineRule="auto"/>
        <w:ind w:left="360" w:right="720" w:firstLine="0"/>
        <w:contextualSpacing w:val="0"/>
      </w:pPr>
      <w:r w:rsidDel="00000000" w:rsidR="00000000" w:rsidRPr="00000000">
        <w:rPr>
          <w:rtl w:val="0"/>
        </w:rPr>
        <w:t xml:space="preserve">The U-M Office of Human Research Compliance Review (OHRCR), an office of the U-M Office of Research (UMOR) may also conduct post-IRB approval reviews of a routine nature, “for cause”, or “not-for-cause”.</w:t>
      </w:r>
    </w:p>
    <w:p w:rsidR="00000000" w:rsidDel="00000000" w:rsidP="00000000" w:rsidRDefault="00000000" w:rsidRPr="00000000">
      <w:pPr>
        <w:spacing w:after="0" w:line="240" w:lineRule="auto"/>
        <w:ind w:right="936" w:firstLine="360"/>
        <w:contextualSpacing w:val="0"/>
      </w:pPr>
      <w:r w:rsidDel="00000000" w:rsidR="00000000" w:rsidRPr="00000000">
        <w:rPr>
          <w:rtl w:val="0"/>
        </w:rPr>
        <w:t xml:space="preserve">(</w:t>
      </w:r>
      <w:r w:rsidDel="00000000" w:rsidR="00000000" w:rsidRPr="00000000">
        <w:rPr>
          <w:b w:val="1"/>
          <w:rtl w:val="0"/>
        </w:rPr>
        <w:t xml:space="preserve">MANDATORY LANGUAGE</w:t>
      </w:r>
      <w:r w:rsidDel="00000000" w:rsidR="00000000" w:rsidRPr="00000000">
        <w:rPr>
          <w:rtl w:val="0"/>
        </w:rPr>
        <w:t xml:space="preserve">)</w:t>
      </w:r>
    </w:p>
    <w:p w:rsidR="00000000" w:rsidDel="00000000" w:rsidP="00000000" w:rsidRDefault="00000000" w:rsidRPr="00000000">
      <w:pPr>
        <w:widowControl w:val="0"/>
        <w:spacing w:after="0" w:line="237"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Additional Regulations or Policies</w:t>
        <w:tab/>
        <w:tab/>
        <w:t xml:space="preserve"> </w:t>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N/A</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project, department, sponsor, institution, state or federal policies that apply]</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76" w:lineRule="auto"/>
        <w:ind w:left="360" w:right="720" w:hanging="36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DEFINITIONS</w:t>
      </w:r>
    </w:p>
    <w:p w:rsidR="00000000" w:rsidDel="00000000" w:rsidP="00000000" w:rsidRDefault="00000000" w:rsidRPr="00000000">
      <w:pPr>
        <w:spacing w:after="0" w:before="0" w:line="276"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color w:val="333333"/>
          <w:rtl w:val="0"/>
        </w:rPr>
        <w:t xml:space="preserve">AUDIT</w:t>
      </w:r>
      <w:r w:rsidDel="00000000" w:rsidR="00000000" w:rsidRPr="00000000">
        <w:rPr>
          <w:rFonts w:ascii="Helvetica Neue" w:cs="Helvetica Neue" w:eastAsia="Helvetica Neue" w:hAnsi="Helvetica Neue"/>
          <w:color w:val="333333"/>
          <w:rtl w:val="0"/>
        </w:rPr>
        <w:t xml:space="preserve">: </w:t>
      </w:r>
      <w:r w:rsidDel="00000000" w:rsidR="00000000" w:rsidRPr="00000000">
        <w:rPr>
          <w:color w:val="333333"/>
          <w:rtl w:val="0"/>
        </w:rPr>
        <w:t xml:space="preserve">A systematic review, inspection, or verification, typically conducted by an independent individual or group. An audit may also include examination of compliance with applicable award terms, laws, regulations and policies </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Fonts w:ascii="Calibri" w:cs="Calibri" w:eastAsia="Calibri" w:hAnsi="Calibri"/>
          <w:b w:val="0"/>
          <w:sz w:val="22"/>
          <w:szCs w:val="22"/>
          <w:rtl w:val="0"/>
        </w:rPr>
        <w:t xml:space="preserve">DOCUMENTATION: All records, in any form (including, but not limited to, written, electronic, magnetic, and optical records; and scans, x-rays, and electrocardiograms) that describe or record the methods, conduct, and/or results of a trial, the factors affecting a trial, and the actions taken</w:t>
      </w: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Fonts w:ascii="Calibri" w:cs="Calibri" w:eastAsia="Calibri" w:hAnsi="Calibri"/>
          <w:b w:val="0"/>
          <w:sz w:val="22"/>
          <w:szCs w:val="22"/>
          <w:rtl w:val="0"/>
        </w:rPr>
        <w:t xml:space="preserve">FOR-CAUSE AUDIT/REVIEW: An audit of research and/or investigators initiated at the request of the IRB or Institutional Official to obtain or verify information necessary to ensure compliance with regulations and institutional requirements and to inform decisions about the conduct of human subject research and/or human subject protection</w:t>
      </w:r>
      <w:r w:rsidDel="00000000" w:rsidR="00000000" w:rsidRPr="00000000">
        <w:rPr>
          <w:rtl w:val="0"/>
        </w:rPr>
      </w:r>
    </w:p>
    <w:p w:rsidR="00000000" w:rsidDel="00000000" w:rsidP="00000000" w:rsidRDefault="00000000" w:rsidRPr="00000000">
      <w:pPr>
        <w:widowControl w:val="0"/>
        <w:spacing w:after="0" w:line="240" w:lineRule="auto"/>
        <w:ind w:right="72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MONITOR: </w:t>
      </w:r>
      <w:r w:rsidDel="00000000" w:rsidR="00000000" w:rsidRPr="00000000">
        <w:rPr>
          <w:color w:val="333333"/>
          <w:rtl w:val="0"/>
        </w:rPr>
        <w:t xml:space="preserve">Designated individual selected by a sponsor or contract research organization to oversee the progress of a clinical investigation</w:t>
      </w:r>
    </w:p>
    <w:p w:rsidR="00000000" w:rsidDel="00000000" w:rsidP="00000000" w:rsidRDefault="00000000" w:rsidRPr="00000000">
      <w:pPr>
        <w:spacing w:after="0" w:line="240" w:lineRule="auto"/>
        <w:ind w:right="720"/>
        <w:contextualSpacing w:val="0"/>
      </w:pP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Fonts w:ascii="Calibri" w:cs="Calibri" w:eastAsia="Calibri" w:hAnsi="Calibri"/>
          <w:b w:val="0"/>
          <w:sz w:val="22"/>
          <w:szCs w:val="22"/>
          <w:rtl w:val="0"/>
        </w:rPr>
        <w:t xml:space="preserve">MONITORING PLAN: A document that describes the study-specific monitoring to be performed</w:t>
      </w: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MONITORING REPORT: A written report from the monitor to the sponsor after each site visit and/or other trial-related communication according to the sponsor’s SOPs</w:t>
      </w:r>
      <w:r w:rsidDel="00000000" w:rsidR="00000000" w:rsidRPr="00000000">
        <w:rPr>
          <w:rtl w:val="0"/>
        </w:rPr>
      </w:r>
    </w:p>
    <w:p w:rsidR="00000000" w:rsidDel="00000000" w:rsidP="00000000" w:rsidRDefault="00000000" w:rsidRPr="00000000">
      <w:pPr>
        <w:widowControl w:val="0"/>
        <w:spacing w:after="0" w:line="240" w:lineRule="auto"/>
        <w:ind w:right="720"/>
        <w:contextualSpacing w:val="0"/>
      </w:pPr>
      <w:r w:rsidDel="00000000" w:rsidR="00000000" w:rsidRPr="00000000">
        <w:rPr>
          <w:rtl w:val="0"/>
        </w:rPr>
      </w:r>
    </w:p>
    <w:p w:rsidR="00000000" w:rsidDel="00000000" w:rsidP="00000000" w:rsidRDefault="00000000" w:rsidRPr="00000000">
      <w:pPr>
        <w:spacing w:after="0" w:lineRule="auto"/>
        <w:ind w:left="360" w:firstLine="0"/>
        <w:contextualSpacing w:val="0"/>
      </w:pPr>
      <w:r w:rsidDel="00000000" w:rsidR="00000000" w:rsidRPr="00000000">
        <w:rPr>
          <w:rtl w:val="0"/>
        </w:rPr>
        <w:t xml:space="preserve">OTHER REPORTABLE INFORMATION OR OCCURRENCE (ORIO): Any event, not an adverse event, that occurs during a clinical research study</w:t>
      </w:r>
    </w:p>
    <w:p w:rsidR="00000000" w:rsidDel="00000000" w:rsidP="00000000" w:rsidRDefault="00000000" w:rsidRPr="00000000">
      <w:pPr>
        <w:spacing w:after="0" w:lineRule="auto"/>
        <w:ind w:right="936" w:firstLine="288"/>
        <w:contextualSpacing w:val="0"/>
      </w:pPr>
      <w:r w:rsidDel="00000000" w:rsidR="00000000" w:rsidRPr="00000000">
        <w:rPr>
          <w:rtl w:val="0"/>
        </w:rPr>
        <w:t xml:space="preserve"> (</w:t>
      </w:r>
      <w:r w:rsidDel="00000000" w:rsidR="00000000" w:rsidRPr="00000000">
        <w:rPr>
          <w:b w:val="1"/>
          <w:rtl w:val="0"/>
        </w:rPr>
        <w:t xml:space="preserve">MANDATORY LANGUAGE</w:t>
      </w:r>
      <w:r w:rsidDel="00000000" w:rsidR="00000000" w:rsidRPr="00000000">
        <w:rPr>
          <w:rtl w:val="0"/>
        </w:rPr>
        <w:t xml:space="preserv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line="240" w:lineRule="auto"/>
        <w:ind w:left="288" w:firstLine="0"/>
        <w:contextualSpacing w:val="0"/>
      </w:pPr>
      <w:r w:rsidDel="00000000" w:rsidR="00000000" w:rsidRPr="00000000">
        <w:rPr>
          <w:i w:val="1"/>
          <w:color w:val="00b0f0"/>
          <w:rtl w:val="0"/>
        </w:rPr>
        <w:t xml:space="preserve">[Optional: </w:t>
      </w:r>
      <w:r w:rsidDel="00000000" w:rsidR="00000000" w:rsidRPr="00000000">
        <w:rPr>
          <w:rFonts w:ascii="Calibri" w:cs="Calibri" w:eastAsia="Calibri" w:hAnsi="Calibri"/>
          <w:i w:val="1"/>
          <w:color w:val="00b0f0"/>
          <w:rtl w:val="0"/>
        </w:rPr>
        <w:t xml:space="preserve">Insert any additional definitions for technical or special terms used within the Standard Operating Procedure that may not be familiar to the lay reader]</w:t>
      </w:r>
    </w:p>
    <w:p w:rsidR="00000000" w:rsidDel="00000000" w:rsidP="00000000" w:rsidRDefault="00000000" w:rsidRPr="00000000">
      <w:pPr>
        <w:spacing w:after="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b w:val="1"/>
          <w:rtl w:val="0"/>
        </w:rPr>
        <w:t xml:space="preserve">Note:</w:t>
      </w:r>
      <w:r w:rsidDel="00000000" w:rsidR="00000000" w:rsidRPr="00000000">
        <w:rPr>
          <w:rtl w:val="0"/>
        </w:rPr>
        <w:t xml:space="preserve"> Many of the definitions above were obtained from the IRBMed Glossary. These definitions were current as of 28-Jul-2015 and are subject to change. Please see the </w:t>
      </w:r>
      <w:hyperlink r:id="rId5">
        <w:r w:rsidDel="00000000" w:rsidR="00000000" w:rsidRPr="00000000">
          <w:rPr>
            <w:color w:val="0000ff"/>
            <w:u w:val="single"/>
            <w:rtl w:val="0"/>
          </w:rPr>
          <w:t xml:space="preserve">IRBMed Glossary</w:t>
        </w:r>
      </w:hyperlink>
      <w:r w:rsidDel="00000000" w:rsidR="00000000" w:rsidRPr="00000000">
        <w:rPr>
          <w:rtl w:val="0"/>
        </w:rPr>
        <w:t xml:space="preserve"> for the most current definitions and additional guidance.</w:t>
      </w:r>
    </w:p>
    <w:p w:rsidR="00000000" w:rsidDel="00000000" w:rsidP="00000000" w:rsidRDefault="00000000" w:rsidRPr="00000000">
      <w:pPr>
        <w:spacing w:after="0" w:lineRule="auto"/>
        <w:ind w:right="936" w:firstLine="288"/>
        <w:contextualSpacing w:val="0"/>
      </w:pPr>
      <w:r w:rsidDel="00000000" w:rsidR="00000000" w:rsidRPr="00000000">
        <w:rPr>
          <w:rtl w:val="0"/>
        </w:rPr>
        <w:t xml:space="preserve"> (</w:t>
      </w:r>
      <w:r w:rsidDel="00000000" w:rsidR="00000000" w:rsidRPr="00000000">
        <w:rPr>
          <w:b w:val="1"/>
          <w:rtl w:val="0"/>
        </w:rPr>
        <w:t xml:space="preserve">MANDATORY LANGUAGE</w:t>
      </w:r>
      <w:r w:rsidDel="00000000" w:rsidR="00000000" w:rsidRPr="00000000">
        <w:rPr>
          <w:rtl w:val="0"/>
        </w:rPr>
        <w:t xml:space="preserv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76" w:lineRule="auto"/>
        <w:ind w:left="360" w:right="720" w:hanging="36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ROLES AND RESPONSIBILITIES</w:t>
      </w:r>
    </w:p>
    <w:p w:rsidR="00000000" w:rsidDel="00000000" w:rsidP="00000000" w:rsidRDefault="00000000" w:rsidRPr="00000000">
      <w:pPr>
        <w:spacing w:after="0" w:before="0" w:line="276" w:lineRule="auto"/>
        <w:ind w:left="360" w:right="720" w:firstLine="0"/>
        <w:contextualSpacing w:val="0"/>
      </w:pPr>
      <w:r w:rsidDel="00000000" w:rsidR="00000000" w:rsidRPr="00000000">
        <w:rPr>
          <w:rtl w:val="0"/>
        </w:rPr>
      </w:r>
    </w:p>
    <w:p w:rsidR="00000000" w:rsidDel="00000000" w:rsidP="00000000" w:rsidRDefault="00000000" w:rsidRPr="00000000">
      <w:pPr>
        <w:tabs>
          <w:tab w:val="left" w:pos="1080"/>
        </w:tabs>
        <w:spacing w:after="0" w:before="0" w:line="240" w:lineRule="auto"/>
        <w:ind w:left="360" w:right="720" w:firstLine="0"/>
        <w:contextualSpacing w:val="0"/>
      </w:pPr>
      <w:r w:rsidDel="00000000" w:rsidR="00000000" w:rsidRPr="00000000">
        <w:rPr>
          <w:rFonts w:ascii="Calibri" w:cs="Calibri" w:eastAsia="Calibri" w:hAnsi="Calibri"/>
          <w:b w:val="1"/>
          <w:sz w:val="22"/>
          <w:szCs w:val="22"/>
          <w:rtl w:val="0"/>
        </w:rPr>
        <w:t xml:space="preserve">Principal Investigator/Designee</w:t>
      </w:r>
    </w:p>
    <w:p w:rsidR="00000000" w:rsidDel="00000000" w:rsidP="00000000" w:rsidRDefault="00000000" w:rsidRPr="00000000">
      <w:pPr>
        <w:tabs>
          <w:tab w:val="left" w:pos="1080"/>
        </w:tabs>
        <w:spacing w:after="0" w:before="0" w:line="240" w:lineRule="auto"/>
        <w:ind w:left="360" w:right="720" w:firstLine="0"/>
        <w:contextualSpacing w:val="0"/>
      </w:pPr>
      <w:r w:rsidDel="00000000" w:rsidR="00000000" w:rsidRPr="00000000">
        <w:rPr>
          <w:rFonts w:ascii="Calibri" w:cs="Calibri" w:eastAsia="Calibri" w:hAnsi="Calibri"/>
          <w:b w:val="0"/>
          <w:sz w:val="22"/>
          <w:szCs w:val="22"/>
          <w:rtl w:val="0"/>
        </w:rPr>
        <w:t xml:space="preserve">An individual filling the role of Principal Investigator (PI) is responsible for conducting a clinical trial in compliance with the protocol and regulatory requirements. The PI shall be responsible for the following activities: </w:t>
      </w:r>
      <w:r w:rsidDel="00000000" w:rsidR="00000000" w:rsidRPr="00000000">
        <w:rPr>
          <w:rtl w:val="0"/>
        </w:rPr>
      </w:r>
    </w:p>
    <w:p w:rsidR="00000000" w:rsidDel="00000000" w:rsidP="00000000" w:rsidRDefault="00000000" w:rsidRPr="00000000">
      <w:pPr>
        <w:numPr>
          <w:ilvl w:val="0"/>
          <w:numId w:val="1"/>
        </w:numPr>
        <w:tabs>
          <w:tab w:val="left" w:pos="1080"/>
        </w:tabs>
        <w:spacing w:after="0" w:before="0" w:line="240" w:lineRule="auto"/>
        <w:ind w:left="1080" w:right="720" w:hanging="360"/>
        <w:rPr/>
      </w:pPr>
      <w:r w:rsidDel="00000000" w:rsidR="00000000" w:rsidRPr="00000000">
        <w:rPr>
          <w:rFonts w:ascii="Calibri" w:cs="Calibri" w:eastAsia="Calibri" w:hAnsi="Calibri"/>
          <w:b w:val="0"/>
          <w:sz w:val="22"/>
          <w:szCs w:val="22"/>
          <w:rtl w:val="0"/>
        </w:rPr>
        <w:t xml:space="preserve">Ensures the clinical trial is monitored by qualified personnel not directly involved in the selection of participants or in the implementation of the research</w:t>
      </w:r>
      <w:r w:rsidDel="00000000" w:rsidR="00000000" w:rsidRPr="00000000">
        <w:rPr>
          <w:rtl w:val="0"/>
        </w:rPr>
      </w:r>
    </w:p>
    <w:p w:rsidR="00000000" w:rsidDel="00000000" w:rsidP="00000000" w:rsidRDefault="00000000" w:rsidRPr="00000000">
      <w:pPr>
        <w:numPr>
          <w:ilvl w:val="0"/>
          <w:numId w:val="1"/>
        </w:numPr>
        <w:tabs>
          <w:tab w:val="left" w:pos="1080"/>
        </w:tabs>
        <w:spacing w:after="0" w:before="0" w:line="240" w:lineRule="auto"/>
        <w:ind w:left="1080" w:right="720" w:hanging="360"/>
        <w:rPr/>
      </w:pPr>
      <w:r w:rsidDel="00000000" w:rsidR="00000000" w:rsidRPr="00000000">
        <w:rPr>
          <w:rFonts w:ascii="Calibri" w:cs="Calibri" w:eastAsia="Calibri" w:hAnsi="Calibri"/>
          <w:b w:val="0"/>
          <w:sz w:val="22"/>
          <w:szCs w:val="22"/>
          <w:rtl w:val="0"/>
        </w:rPr>
        <w:t xml:space="preserve">Works with the clinical trial monitor to implement a monitoring plan</w:t>
      </w:r>
      <w:r w:rsidDel="00000000" w:rsidR="00000000" w:rsidRPr="00000000">
        <w:rPr>
          <w:rtl w:val="0"/>
        </w:rPr>
      </w:r>
    </w:p>
    <w:p w:rsidR="00000000" w:rsidDel="00000000" w:rsidP="00000000" w:rsidRDefault="00000000" w:rsidRPr="00000000">
      <w:pPr>
        <w:numPr>
          <w:ilvl w:val="0"/>
          <w:numId w:val="1"/>
        </w:numPr>
        <w:tabs>
          <w:tab w:val="left" w:pos="1080"/>
        </w:tabs>
        <w:spacing w:after="0" w:before="0" w:line="240" w:lineRule="auto"/>
        <w:ind w:left="1080" w:right="720" w:hanging="360"/>
        <w:rPr/>
      </w:pPr>
      <w:r w:rsidDel="00000000" w:rsidR="00000000" w:rsidRPr="00000000">
        <w:rPr>
          <w:rFonts w:ascii="Calibri" w:cs="Calibri" w:eastAsia="Calibri" w:hAnsi="Calibri"/>
          <w:b w:val="0"/>
          <w:sz w:val="22"/>
          <w:szCs w:val="22"/>
          <w:rtl w:val="0"/>
        </w:rPr>
        <w:t xml:space="preserve">Ensures the availability of clinical trial documentation for the monitor and auditor’s review</w:t>
      </w:r>
      <w:r w:rsidDel="00000000" w:rsidR="00000000" w:rsidRPr="00000000">
        <w:rPr>
          <w:rtl w:val="0"/>
        </w:rPr>
      </w:r>
    </w:p>
    <w:p w:rsidR="00000000" w:rsidDel="00000000" w:rsidP="00000000" w:rsidRDefault="00000000" w:rsidRPr="00000000">
      <w:pPr>
        <w:numPr>
          <w:ilvl w:val="0"/>
          <w:numId w:val="1"/>
        </w:numPr>
        <w:tabs>
          <w:tab w:val="left" w:pos="1080"/>
        </w:tabs>
        <w:spacing w:after="0" w:before="0" w:line="240" w:lineRule="auto"/>
        <w:ind w:left="1080" w:right="720" w:hanging="360"/>
        <w:rPr/>
      </w:pPr>
      <w:r w:rsidDel="00000000" w:rsidR="00000000" w:rsidRPr="00000000">
        <w:rPr>
          <w:rFonts w:ascii="Calibri" w:cs="Calibri" w:eastAsia="Calibri" w:hAnsi="Calibri"/>
          <w:b w:val="0"/>
          <w:sz w:val="22"/>
          <w:szCs w:val="22"/>
          <w:rtl w:val="0"/>
        </w:rPr>
        <w:t xml:space="preserve">Corrects and addresses all questions and concerns identified during the visit with the monitor</w:t>
      </w:r>
      <w:r w:rsidDel="00000000" w:rsidR="00000000" w:rsidRPr="00000000">
        <w:rPr>
          <w:rtl w:val="0"/>
        </w:rPr>
      </w:r>
    </w:p>
    <w:p w:rsidR="00000000" w:rsidDel="00000000" w:rsidP="00000000" w:rsidRDefault="00000000" w:rsidRPr="00000000">
      <w:pPr>
        <w:numPr>
          <w:ilvl w:val="0"/>
          <w:numId w:val="1"/>
        </w:numPr>
        <w:tabs>
          <w:tab w:val="left" w:pos="1080"/>
        </w:tabs>
        <w:spacing w:after="0" w:before="0" w:line="240" w:lineRule="auto"/>
        <w:ind w:left="1080" w:right="720" w:hanging="360"/>
        <w:rPr/>
      </w:pPr>
      <w:r w:rsidDel="00000000" w:rsidR="00000000" w:rsidRPr="00000000">
        <w:rPr>
          <w:rFonts w:ascii="Calibri" w:cs="Calibri" w:eastAsia="Calibri" w:hAnsi="Calibri"/>
          <w:b w:val="0"/>
          <w:sz w:val="22"/>
          <w:szCs w:val="22"/>
          <w:rtl w:val="0"/>
        </w:rPr>
        <w:t xml:space="preserve">Reports monitoring and audit outcomes to the sponsor</w:t>
      </w:r>
      <w:r w:rsidDel="00000000" w:rsidR="00000000" w:rsidRPr="00000000">
        <w:rPr>
          <w:rtl w:val="0"/>
        </w:rPr>
      </w:r>
    </w:p>
    <w:p w:rsidR="00000000" w:rsidDel="00000000" w:rsidP="00000000" w:rsidRDefault="00000000" w:rsidRPr="00000000">
      <w:pPr>
        <w:numPr>
          <w:ilvl w:val="0"/>
          <w:numId w:val="1"/>
        </w:numPr>
        <w:tabs>
          <w:tab w:val="left" w:pos="1080"/>
        </w:tabs>
        <w:spacing w:after="0" w:before="0" w:line="240" w:lineRule="auto"/>
        <w:ind w:left="1080" w:right="720" w:hanging="360"/>
        <w:rPr/>
      </w:pPr>
      <w:r w:rsidDel="00000000" w:rsidR="00000000" w:rsidRPr="00000000">
        <w:rPr>
          <w:rFonts w:ascii="Calibri" w:cs="Calibri" w:eastAsia="Calibri" w:hAnsi="Calibri"/>
          <w:b w:val="0"/>
          <w:sz w:val="22"/>
          <w:szCs w:val="22"/>
          <w:rtl w:val="0"/>
        </w:rPr>
        <w:t xml:space="preserve">Ensures copies of correspondence with monitor and sponsor are maintained in study records </w:t>
      </w:r>
      <w:r w:rsidDel="00000000" w:rsidR="00000000" w:rsidRPr="00000000">
        <w:rPr>
          <w:rtl w:val="0"/>
        </w:rPr>
      </w:r>
    </w:p>
    <w:p w:rsidR="00000000" w:rsidDel="00000000" w:rsidP="00000000" w:rsidRDefault="00000000" w:rsidRPr="00000000">
      <w:pPr>
        <w:numPr>
          <w:ilvl w:val="0"/>
          <w:numId w:val="1"/>
        </w:numPr>
        <w:tabs>
          <w:tab w:val="left" w:pos="1080"/>
        </w:tabs>
        <w:spacing w:after="0" w:before="0" w:line="240" w:lineRule="auto"/>
        <w:ind w:left="1080" w:right="720" w:hanging="360"/>
        <w:rPr/>
      </w:pPr>
      <w:r w:rsidDel="00000000" w:rsidR="00000000" w:rsidRPr="00000000">
        <w:rPr>
          <w:rFonts w:ascii="Calibri" w:cs="Calibri" w:eastAsia="Calibri" w:hAnsi="Calibri"/>
          <w:b w:val="0"/>
          <w:sz w:val="22"/>
          <w:szCs w:val="22"/>
          <w:rtl w:val="0"/>
        </w:rPr>
        <w:t xml:space="preserve">Ensures copies of all written correspondence received and sent to external oversight entities are submitted to the IRB Committee</w:t>
      </w:r>
      <w:r w:rsidDel="00000000" w:rsidR="00000000" w:rsidRPr="00000000">
        <w:rPr>
          <w:rtl w:val="0"/>
        </w:rPr>
      </w:r>
    </w:p>
    <w:p w:rsidR="00000000" w:rsidDel="00000000" w:rsidP="00000000" w:rsidRDefault="00000000" w:rsidRPr="00000000">
      <w:pPr>
        <w:spacing w:after="0" w:line="240" w:lineRule="auto"/>
        <w:ind w:right="936" w:firstLine="360"/>
        <w:contextualSpacing w:val="0"/>
      </w:pPr>
      <w:r w:rsidDel="00000000" w:rsidR="00000000" w:rsidRPr="00000000">
        <w:rPr>
          <w:rtl w:val="0"/>
        </w:rPr>
        <w:t xml:space="preserve">(</w:t>
      </w:r>
      <w:r w:rsidDel="00000000" w:rsidR="00000000" w:rsidRPr="00000000">
        <w:rPr>
          <w:b w:val="1"/>
          <w:rtl w:val="0"/>
        </w:rPr>
        <w:t xml:space="preserve">MANDATORY LANGUAGE</w:t>
      </w:r>
      <w:r w:rsidDel="00000000" w:rsidR="00000000" w:rsidRPr="00000000">
        <w:rPr>
          <w:rtl w:val="0"/>
        </w:rPr>
        <w:t xml:space="preserve">)</w:t>
      </w: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details regarding the responsibilities of the Principal Investigator/Designee</w:t>
      </w:r>
      <w:r w:rsidDel="00000000" w:rsidR="00000000" w:rsidRPr="00000000">
        <w:rPr>
          <w:color w:val="00b0f0"/>
          <w:rtl w:val="0"/>
        </w:rPr>
        <w:t xml:space="preserv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b w:val="1"/>
          <w:rtl w:val="0"/>
        </w:rPr>
        <w:t xml:space="preserve">Study Coordinator(s)/Designee</w:t>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An individual filling this role may be responsible for the following activities: </w:t>
      </w:r>
      <w:r w:rsidDel="00000000" w:rsidR="00000000" w:rsidRPr="00000000">
        <w:rPr>
          <w:rtl w:val="0"/>
        </w:rPr>
      </w:r>
    </w:p>
    <w:p w:rsidR="00000000" w:rsidDel="00000000" w:rsidP="00000000" w:rsidRDefault="00000000" w:rsidRPr="00000000">
      <w:pPr>
        <w:numPr>
          <w:ilvl w:val="0"/>
          <w:numId w:val="1"/>
        </w:numPr>
        <w:tabs>
          <w:tab w:val="left" w:pos="1080"/>
        </w:tabs>
        <w:spacing w:after="0" w:before="0" w:line="240" w:lineRule="auto"/>
        <w:ind w:left="1080" w:right="720" w:hanging="360"/>
        <w:rPr/>
      </w:pPr>
      <w:r w:rsidDel="00000000" w:rsidR="00000000" w:rsidRPr="00000000">
        <w:rPr>
          <w:rFonts w:ascii="Calibri" w:cs="Calibri" w:eastAsia="Calibri" w:hAnsi="Calibri"/>
          <w:b w:val="0"/>
          <w:sz w:val="22"/>
          <w:szCs w:val="22"/>
          <w:rtl w:val="0"/>
        </w:rPr>
        <w:t xml:space="preserve">Reviews the clinical trial protocol and other clinical trial documentation in preparation for monitoring visit </w:t>
      </w:r>
      <w:r w:rsidDel="00000000" w:rsidR="00000000" w:rsidRPr="00000000">
        <w:rPr>
          <w:rtl w:val="0"/>
        </w:rPr>
      </w:r>
    </w:p>
    <w:p w:rsidR="00000000" w:rsidDel="00000000" w:rsidP="00000000" w:rsidRDefault="00000000" w:rsidRPr="00000000">
      <w:pPr>
        <w:numPr>
          <w:ilvl w:val="0"/>
          <w:numId w:val="1"/>
        </w:numPr>
        <w:tabs>
          <w:tab w:val="left" w:pos="1080"/>
        </w:tabs>
        <w:spacing w:after="0" w:before="0" w:line="240" w:lineRule="auto"/>
        <w:ind w:left="1080" w:right="720" w:hanging="360"/>
        <w:rPr/>
      </w:pPr>
      <w:r w:rsidDel="00000000" w:rsidR="00000000" w:rsidRPr="00000000">
        <w:rPr>
          <w:rFonts w:ascii="Calibri" w:cs="Calibri" w:eastAsia="Calibri" w:hAnsi="Calibri"/>
          <w:b w:val="0"/>
          <w:sz w:val="22"/>
          <w:szCs w:val="22"/>
          <w:rtl w:val="0"/>
        </w:rPr>
        <w:t xml:space="preserve">Ensures all study documentation and regulatory materials are up-to-date and available</w:t>
      </w:r>
      <w:r w:rsidDel="00000000" w:rsidR="00000000" w:rsidRPr="00000000">
        <w:rPr>
          <w:rtl w:val="0"/>
        </w:rPr>
      </w:r>
    </w:p>
    <w:p w:rsidR="00000000" w:rsidDel="00000000" w:rsidP="00000000" w:rsidRDefault="00000000" w:rsidRPr="00000000">
      <w:pPr>
        <w:numPr>
          <w:ilvl w:val="0"/>
          <w:numId w:val="1"/>
        </w:numPr>
        <w:tabs>
          <w:tab w:val="left" w:pos="1080"/>
        </w:tabs>
        <w:spacing w:after="0" w:before="0" w:line="240" w:lineRule="auto"/>
        <w:ind w:left="1080" w:right="720" w:hanging="360"/>
        <w:rPr/>
      </w:pPr>
      <w:r w:rsidDel="00000000" w:rsidR="00000000" w:rsidRPr="00000000">
        <w:rPr>
          <w:rFonts w:ascii="Calibri" w:cs="Calibri" w:eastAsia="Calibri" w:hAnsi="Calibri"/>
          <w:b w:val="0"/>
          <w:sz w:val="22"/>
          <w:szCs w:val="22"/>
          <w:rtl w:val="0"/>
        </w:rPr>
        <w:t xml:space="preserve">Secures physical space for the monitor or auditor</w:t>
      </w:r>
      <w:r w:rsidDel="00000000" w:rsidR="00000000" w:rsidRPr="00000000">
        <w:rPr>
          <w:rtl w:val="0"/>
        </w:rPr>
      </w:r>
    </w:p>
    <w:p w:rsidR="00000000" w:rsidDel="00000000" w:rsidP="00000000" w:rsidRDefault="00000000" w:rsidRPr="00000000">
      <w:pPr>
        <w:numPr>
          <w:ilvl w:val="0"/>
          <w:numId w:val="1"/>
        </w:numPr>
        <w:tabs>
          <w:tab w:val="left" w:pos="1080"/>
        </w:tabs>
        <w:spacing w:after="0" w:before="0" w:line="240" w:lineRule="auto"/>
        <w:ind w:left="1080" w:right="720" w:hanging="360"/>
        <w:rPr/>
      </w:pPr>
      <w:r w:rsidDel="00000000" w:rsidR="00000000" w:rsidRPr="00000000">
        <w:rPr>
          <w:rFonts w:ascii="Calibri" w:cs="Calibri" w:eastAsia="Calibri" w:hAnsi="Calibri"/>
          <w:b w:val="0"/>
          <w:sz w:val="22"/>
          <w:szCs w:val="22"/>
          <w:rtl w:val="0"/>
        </w:rPr>
        <w:t xml:space="preserve">Ensures applicable staff are available to the monitor/auditor during the visit</w:t>
      </w:r>
      <w:r w:rsidDel="00000000" w:rsidR="00000000" w:rsidRPr="00000000">
        <w:rPr>
          <w:rtl w:val="0"/>
        </w:rPr>
      </w:r>
    </w:p>
    <w:p w:rsidR="00000000" w:rsidDel="00000000" w:rsidP="00000000" w:rsidRDefault="00000000" w:rsidRPr="00000000">
      <w:pPr>
        <w:numPr>
          <w:ilvl w:val="0"/>
          <w:numId w:val="1"/>
        </w:numPr>
        <w:tabs>
          <w:tab w:val="left" w:pos="1080"/>
        </w:tabs>
        <w:spacing w:after="0" w:before="0" w:line="240" w:lineRule="auto"/>
        <w:ind w:left="1080" w:right="720" w:hanging="360"/>
        <w:rPr/>
      </w:pPr>
      <w:r w:rsidDel="00000000" w:rsidR="00000000" w:rsidRPr="00000000">
        <w:rPr>
          <w:rFonts w:ascii="Calibri" w:cs="Calibri" w:eastAsia="Calibri" w:hAnsi="Calibri"/>
          <w:b w:val="0"/>
          <w:sz w:val="22"/>
          <w:szCs w:val="22"/>
          <w:rtl w:val="0"/>
        </w:rPr>
        <w:t xml:space="preserve">Coordinates visits to the clinical trial pharmacy and lab, when applicable</w:t>
      </w:r>
      <w:r w:rsidDel="00000000" w:rsidR="00000000" w:rsidRPr="00000000">
        <w:rPr>
          <w:rtl w:val="0"/>
        </w:rPr>
      </w:r>
    </w:p>
    <w:p w:rsidR="00000000" w:rsidDel="00000000" w:rsidP="00000000" w:rsidRDefault="00000000" w:rsidRPr="00000000">
      <w:pPr>
        <w:numPr>
          <w:ilvl w:val="0"/>
          <w:numId w:val="1"/>
        </w:numPr>
        <w:tabs>
          <w:tab w:val="left" w:pos="1080"/>
        </w:tabs>
        <w:spacing w:after="0" w:before="0" w:line="240" w:lineRule="auto"/>
        <w:ind w:left="1080" w:right="720" w:hanging="360"/>
        <w:rPr/>
      </w:pPr>
      <w:r w:rsidDel="00000000" w:rsidR="00000000" w:rsidRPr="00000000">
        <w:rPr>
          <w:rFonts w:ascii="Calibri" w:cs="Calibri" w:eastAsia="Calibri" w:hAnsi="Calibri"/>
          <w:b w:val="0"/>
          <w:sz w:val="22"/>
          <w:szCs w:val="22"/>
          <w:rtl w:val="0"/>
        </w:rPr>
        <w:t xml:space="preserve">Works with research team members to provide responses to all monitoring/audit queries and monitoring/audit reports</w:t>
      </w:r>
      <w:r w:rsidDel="00000000" w:rsidR="00000000" w:rsidRPr="00000000">
        <w:rPr>
          <w:rtl w:val="0"/>
        </w:rPr>
      </w:r>
    </w:p>
    <w:p w:rsidR="00000000" w:rsidDel="00000000" w:rsidP="00000000" w:rsidRDefault="00000000" w:rsidRPr="00000000">
      <w:pPr>
        <w:numPr>
          <w:ilvl w:val="0"/>
          <w:numId w:val="1"/>
        </w:numPr>
        <w:tabs>
          <w:tab w:val="left" w:pos="1080"/>
        </w:tabs>
        <w:spacing w:after="0" w:before="0" w:line="240" w:lineRule="auto"/>
        <w:ind w:left="1080" w:right="720" w:hanging="360"/>
        <w:rPr/>
      </w:pPr>
      <w:r w:rsidDel="00000000" w:rsidR="00000000" w:rsidRPr="00000000">
        <w:rPr>
          <w:rFonts w:ascii="Calibri" w:cs="Calibri" w:eastAsia="Calibri" w:hAnsi="Calibri"/>
          <w:b w:val="0"/>
          <w:sz w:val="22"/>
          <w:szCs w:val="22"/>
          <w:rtl w:val="0"/>
        </w:rPr>
        <w:t xml:space="preserve">Provides documentation that all monitoring items have been addressed and responds to all queries</w:t>
      </w:r>
      <w:r w:rsidDel="00000000" w:rsidR="00000000" w:rsidRPr="00000000">
        <w:rPr>
          <w:rtl w:val="0"/>
        </w:rPr>
      </w:r>
    </w:p>
    <w:p w:rsidR="00000000" w:rsidDel="00000000" w:rsidP="00000000" w:rsidRDefault="00000000" w:rsidRPr="00000000">
      <w:pPr>
        <w:numPr>
          <w:ilvl w:val="0"/>
          <w:numId w:val="1"/>
        </w:numPr>
        <w:tabs>
          <w:tab w:val="left" w:pos="1080"/>
        </w:tabs>
        <w:spacing w:after="0" w:before="0" w:line="240" w:lineRule="auto"/>
        <w:ind w:left="1080" w:right="720" w:hanging="360"/>
        <w:rPr/>
      </w:pPr>
      <w:r w:rsidDel="00000000" w:rsidR="00000000" w:rsidRPr="00000000">
        <w:rPr>
          <w:rFonts w:ascii="Calibri" w:cs="Calibri" w:eastAsia="Calibri" w:hAnsi="Calibri"/>
          <w:b w:val="0"/>
          <w:sz w:val="22"/>
          <w:szCs w:val="22"/>
          <w:rtl w:val="0"/>
        </w:rPr>
        <w:t xml:space="preserve">Submits the final monitoring and/or auditing report to the IRB </w:t>
      </w:r>
      <w:r w:rsidDel="00000000" w:rsidR="00000000" w:rsidRPr="00000000">
        <w:rPr>
          <w:rtl w:val="0"/>
        </w:rPr>
      </w:r>
    </w:p>
    <w:p w:rsidR="00000000" w:rsidDel="00000000" w:rsidP="00000000" w:rsidRDefault="00000000" w:rsidRPr="00000000">
      <w:pPr>
        <w:spacing w:after="0" w:line="240" w:lineRule="auto"/>
        <w:ind w:right="936" w:firstLine="360"/>
        <w:contextualSpacing w:val="0"/>
      </w:pPr>
      <w:r w:rsidDel="00000000" w:rsidR="00000000" w:rsidRPr="00000000">
        <w:rPr>
          <w:rtl w:val="0"/>
        </w:rPr>
        <w:t xml:space="preserve">(</w:t>
      </w:r>
      <w:r w:rsidDel="00000000" w:rsidR="00000000" w:rsidRPr="00000000">
        <w:rPr>
          <w:b w:val="1"/>
          <w:rtl w:val="0"/>
        </w:rPr>
        <w:t xml:space="preserve">MANDATORY LANGUAGE</w:t>
      </w:r>
      <w:r w:rsidDel="00000000" w:rsidR="00000000" w:rsidRPr="00000000">
        <w:rPr>
          <w:rtl w:val="0"/>
        </w:rPr>
        <w:t xml:space="preserve">)</w:t>
      </w:r>
      <w:r w:rsidDel="00000000" w:rsidR="00000000" w:rsidRPr="00000000">
        <w:rPr>
          <w:rtl w:val="0"/>
        </w:rPr>
      </w:r>
    </w:p>
    <w:p w:rsidR="00000000" w:rsidDel="00000000" w:rsidP="00000000" w:rsidRDefault="00000000" w:rsidRPr="00000000">
      <w:pPr>
        <w:widowControl w:val="0"/>
        <w:spacing w:after="0" w:line="240" w:lineRule="auto"/>
        <w:ind w:right="72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details regarding the responsibilities of the Study Coordinator/Designee</w:t>
      </w:r>
      <w:r w:rsidDel="00000000" w:rsidR="00000000" w:rsidRPr="00000000">
        <w:rPr>
          <w:color w:val="00b0f0"/>
          <w:rtl w:val="0"/>
        </w:rPr>
        <w:t xml:space="preserve">]</w:t>
      </w:r>
      <w:r w:rsidDel="00000000" w:rsidR="00000000" w:rsidRPr="00000000">
        <w:rPr>
          <w:rtl w:val="0"/>
        </w:rPr>
      </w:r>
    </w:p>
    <w:p w:rsidR="00000000" w:rsidDel="00000000" w:rsidP="00000000" w:rsidRDefault="00000000" w:rsidRPr="00000000">
      <w:pPr>
        <w:spacing w:after="0" w:before="41" w:line="240" w:lineRule="auto"/>
        <w:ind w:right="72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Additional Roles and Responsibilities</w:t>
      </w:r>
      <w:r w:rsidDel="00000000" w:rsidR="00000000" w:rsidRPr="00000000">
        <w:rPr>
          <w:rtl w:val="0"/>
        </w:rPr>
        <w:tab/>
        <w:tab/>
      </w:r>
      <w:r w:rsidDel="00000000" w:rsidR="00000000" w:rsidRPr="00000000">
        <w:rPr>
          <w:b w:val="1"/>
          <w:rtl w:val="0"/>
        </w:rPr>
        <w:t xml:space="preserve"> </w:t>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N/A</w:t>
      </w: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(MANDATORY LANGUAGE)</w:t>
      </w:r>
    </w:p>
    <w:p w:rsidR="00000000" w:rsidDel="00000000" w:rsidP="00000000" w:rsidRDefault="00000000" w:rsidRPr="00000000">
      <w:pPr>
        <w:widowControl w:val="0"/>
        <w:spacing w:after="0" w:line="240" w:lineRule="auto"/>
        <w:ind w:right="72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role(s) and responsibilities that apply to this SOP]</w:t>
      </w:r>
    </w:p>
    <w:p w:rsidR="00000000" w:rsidDel="00000000" w:rsidP="00000000" w:rsidRDefault="00000000" w:rsidRPr="00000000">
      <w:pPr>
        <w:spacing w:after="0" w:before="41" w:line="240" w:lineRule="auto"/>
        <w:ind w:right="720"/>
        <w:contextualSpacing w:val="0"/>
      </w:pPr>
      <w:r w:rsidDel="00000000" w:rsidR="00000000" w:rsidRPr="00000000">
        <w:rPr>
          <w:rtl w:val="0"/>
        </w:rPr>
      </w:r>
    </w:p>
    <w:p w:rsidR="00000000" w:rsidDel="00000000" w:rsidP="00000000" w:rsidRDefault="00000000" w:rsidRPr="00000000">
      <w:pPr>
        <w:numPr>
          <w:ilvl w:val="0"/>
          <w:numId w:val="2"/>
        </w:numPr>
        <w:spacing w:after="0" w:before="0" w:line="276" w:lineRule="auto"/>
        <w:ind w:left="360" w:right="720" w:hanging="36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PROCEDURE</w:t>
      </w:r>
    </w:p>
    <w:p w:rsidR="00000000" w:rsidDel="00000000" w:rsidP="00000000" w:rsidRDefault="00000000" w:rsidRPr="00000000">
      <w:pPr>
        <w:spacing w:after="0" w:lineRule="auto"/>
        <w:ind w:right="720"/>
        <w:contextualSpacing w:val="0"/>
      </w:pPr>
      <w:r w:rsidDel="00000000" w:rsidR="00000000" w:rsidRPr="00000000">
        <w:rPr>
          <w:rtl w:val="0"/>
        </w:rPr>
      </w:r>
    </w:p>
    <w:p w:rsidR="00000000" w:rsidDel="00000000" w:rsidP="00000000" w:rsidRDefault="00000000" w:rsidRPr="00000000">
      <w:pPr>
        <w:spacing w:after="0" w:before="0" w:line="276" w:lineRule="auto"/>
        <w:ind w:left="360" w:right="720" w:firstLine="0"/>
        <w:contextualSpacing w:val="0"/>
      </w:pPr>
      <w:r w:rsidDel="00000000" w:rsidR="00000000" w:rsidRPr="00000000">
        <w:rPr>
          <w:rFonts w:ascii="Calibri" w:cs="Calibri" w:eastAsia="Calibri" w:hAnsi="Calibri"/>
          <w:b w:val="1"/>
          <w:sz w:val="22"/>
          <w:szCs w:val="22"/>
          <w:rtl w:val="0"/>
        </w:rPr>
        <w:t xml:space="preserve">Monitoring /Audit Visit Notification</w:t>
      </w:r>
    </w:p>
    <w:p w:rsidR="00000000" w:rsidDel="00000000" w:rsidP="00000000" w:rsidRDefault="00000000" w:rsidRPr="00000000">
      <w:pPr>
        <w:spacing w:after="0" w:before="0" w:line="276" w:lineRule="auto"/>
        <w:ind w:left="360" w:right="720" w:firstLine="0"/>
        <w:contextualSpacing w:val="0"/>
      </w:pPr>
      <w:r w:rsidDel="00000000" w:rsidR="00000000" w:rsidRPr="00000000">
        <w:rPr>
          <w:rFonts w:ascii="Calibri" w:cs="Calibri" w:eastAsia="Calibri" w:hAnsi="Calibri"/>
          <w:b w:val="0"/>
          <w:i w:val="1"/>
          <w:color w:val="00b0f0"/>
          <w:sz w:val="22"/>
          <w:szCs w:val="22"/>
          <w:rtl w:val="0"/>
        </w:rPr>
        <w:t xml:space="preserve">[Describe the process for notifying required institutional officials (IRBMED, Regulatory Affairs, Health System, Legal Office, as applicable) of a pending monitoring visit or audit]</w:t>
      </w:r>
    </w:p>
    <w:p w:rsidR="00000000" w:rsidDel="00000000" w:rsidP="00000000" w:rsidRDefault="00000000" w:rsidRPr="00000000">
      <w:pPr>
        <w:spacing w:after="0" w:before="0" w:line="276" w:lineRule="auto"/>
        <w:ind w:left="360" w:right="720" w:firstLine="0"/>
        <w:contextualSpacing w:val="0"/>
      </w:pPr>
      <w:r w:rsidDel="00000000" w:rsidR="00000000" w:rsidRPr="00000000">
        <w:rPr>
          <w:rtl w:val="0"/>
        </w:rPr>
      </w:r>
    </w:p>
    <w:p w:rsidR="00000000" w:rsidDel="00000000" w:rsidP="00000000" w:rsidRDefault="00000000" w:rsidRPr="00000000">
      <w:pPr>
        <w:spacing w:after="0" w:before="0" w:line="276" w:lineRule="auto"/>
        <w:ind w:left="360" w:right="720" w:firstLine="0"/>
        <w:contextualSpacing w:val="0"/>
      </w:pPr>
      <w:r w:rsidDel="00000000" w:rsidR="00000000" w:rsidRPr="00000000">
        <w:rPr>
          <w:rFonts w:ascii="Calibri" w:cs="Calibri" w:eastAsia="Calibri" w:hAnsi="Calibri"/>
          <w:b w:val="1"/>
          <w:sz w:val="22"/>
          <w:szCs w:val="22"/>
          <w:rtl w:val="0"/>
        </w:rPr>
        <w:t xml:space="preserve">Monitoring Visit Preparation</w:t>
      </w:r>
    </w:p>
    <w:p w:rsidR="00000000" w:rsidDel="00000000" w:rsidP="00000000" w:rsidRDefault="00000000" w:rsidRPr="00000000">
      <w:pPr>
        <w:spacing w:after="0" w:before="0" w:line="276" w:lineRule="auto"/>
        <w:ind w:left="360" w:right="720" w:firstLine="0"/>
        <w:contextualSpacing w:val="0"/>
      </w:pPr>
      <w:r w:rsidDel="00000000" w:rsidR="00000000" w:rsidRPr="00000000">
        <w:rPr>
          <w:rFonts w:ascii="Calibri" w:cs="Calibri" w:eastAsia="Calibri" w:hAnsi="Calibri"/>
          <w:b w:val="0"/>
          <w:i w:val="1"/>
          <w:color w:val="00b0f0"/>
          <w:sz w:val="22"/>
          <w:szCs w:val="22"/>
          <w:rtl w:val="0"/>
        </w:rPr>
        <w:t xml:space="preserve">[Describe the process for preparing for a monitoring visit including preparation of physical space, clinical trial files, regulatory documents, etc.]</w:t>
      </w:r>
    </w:p>
    <w:p w:rsidR="00000000" w:rsidDel="00000000" w:rsidP="00000000" w:rsidRDefault="00000000" w:rsidRPr="00000000">
      <w:pPr>
        <w:spacing w:after="0" w:lineRule="auto"/>
        <w:ind w:right="720"/>
        <w:contextualSpacing w:val="0"/>
      </w:pPr>
      <w:r w:rsidDel="00000000" w:rsidR="00000000" w:rsidRPr="00000000">
        <w:rPr>
          <w:rtl w:val="0"/>
        </w:rPr>
      </w:r>
    </w:p>
    <w:p w:rsidR="00000000" w:rsidDel="00000000" w:rsidP="00000000" w:rsidRDefault="00000000" w:rsidRPr="00000000">
      <w:pPr>
        <w:spacing w:after="0" w:before="0" w:line="276" w:lineRule="auto"/>
        <w:ind w:left="360" w:right="720" w:firstLine="0"/>
        <w:contextualSpacing w:val="0"/>
      </w:pPr>
      <w:r w:rsidDel="00000000" w:rsidR="00000000" w:rsidRPr="00000000">
        <w:rPr>
          <w:rFonts w:ascii="Calibri" w:cs="Calibri" w:eastAsia="Calibri" w:hAnsi="Calibri"/>
          <w:b w:val="1"/>
          <w:sz w:val="22"/>
          <w:szCs w:val="22"/>
          <w:rtl w:val="0"/>
        </w:rPr>
        <w:t xml:space="preserve">Audit Visit Preparation</w:t>
      </w:r>
    </w:p>
    <w:p w:rsidR="00000000" w:rsidDel="00000000" w:rsidP="00000000" w:rsidRDefault="00000000" w:rsidRPr="00000000">
      <w:pPr>
        <w:spacing w:after="0" w:before="0" w:line="276" w:lineRule="auto"/>
        <w:ind w:left="360" w:right="720" w:firstLine="0"/>
        <w:contextualSpacing w:val="0"/>
      </w:pPr>
      <w:r w:rsidDel="00000000" w:rsidR="00000000" w:rsidRPr="00000000">
        <w:rPr>
          <w:rFonts w:ascii="Calibri" w:cs="Calibri" w:eastAsia="Calibri" w:hAnsi="Calibri"/>
          <w:b w:val="0"/>
          <w:i w:val="1"/>
          <w:color w:val="00b0f0"/>
          <w:sz w:val="22"/>
          <w:szCs w:val="22"/>
          <w:rtl w:val="0"/>
        </w:rPr>
        <w:t xml:space="preserve">[Describe the process for preparing for an audit, including preparation of physical space, clinical trial files, regulatory documents, etc.]</w:t>
      </w:r>
    </w:p>
    <w:p w:rsidR="00000000" w:rsidDel="00000000" w:rsidP="00000000" w:rsidRDefault="00000000" w:rsidRPr="00000000">
      <w:pPr>
        <w:spacing w:after="0" w:lineRule="auto"/>
        <w:ind w:right="720"/>
        <w:contextualSpacing w:val="0"/>
      </w:pPr>
      <w:r w:rsidDel="00000000" w:rsidR="00000000" w:rsidRPr="00000000">
        <w:rPr>
          <w:rtl w:val="0"/>
        </w:rPr>
      </w:r>
    </w:p>
    <w:p w:rsidR="00000000" w:rsidDel="00000000" w:rsidP="00000000" w:rsidRDefault="00000000" w:rsidRPr="00000000">
      <w:pPr>
        <w:spacing w:after="0" w:before="0" w:line="276" w:lineRule="auto"/>
        <w:ind w:left="360" w:right="720" w:firstLine="0"/>
        <w:contextualSpacing w:val="0"/>
      </w:pPr>
      <w:r w:rsidDel="00000000" w:rsidR="00000000" w:rsidRPr="00000000">
        <w:rPr>
          <w:rFonts w:ascii="Calibri" w:cs="Calibri" w:eastAsia="Calibri" w:hAnsi="Calibri"/>
          <w:b w:val="1"/>
          <w:sz w:val="22"/>
          <w:szCs w:val="22"/>
          <w:rtl w:val="0"/>
        </w:rPr>
        <w:t xml:space="preserve">Monitoring /Audit Visit Participation</w:t>
      </w:r>
    </w:p>
    <w:p w:rsidR="00000000" w:rsidDel="00000000" w:rsidP="00000000" w:rsidRDefault="00000000" w:rsidRPr="00000000">
      <w:pPr>
        <w:spacing w:after="0" w:before="0" w:line="276" w:lineRule="auto"/>
        <w:ind w:left="360" w:right="720" w:firstLine="0"/>
        <w:contextualSpacing w:val="0"/>
      </w:pPr>
      <w:r w:rsidDel="00000000" w:rsidR="00000000" w:rsidRPr="00000000">
        <w:rPr>
          <w:rFonts w:ascii="Calibri" w:cs="Calibri" w:eastAsia="Calibri" w:hAnsi="Calibri"/>
          <w:b w:val="0"/>
          <w:i w:val="1"/>
          <w:color w:val="00b0f0"/>
          <w:sz w:val="22"/>
          <w:szCs w:val="22"/>
          <w:rtl w:val="0"/>
        </w:rPr>
        <w:t xml:space="preserve">[Describe the process for ensuring adequate information, access to records and appropriate clinical trial personnel are available for the monitor/auditor. Include a plan for coverage of an absent research team member.]</w:t>
      </w:r>
    </w:p>
    <w:p w:rsidR="00000000" w:rsidDel="00000000" w:rsidP="00000000" w:rsidRDefault="00000000" w:rsidRPr="00000000">
      <w:pPr>
        <w:spacing w:after="0" w:before="0" w:line="276" w:lineRule="auto"/>
        <w:ind w:left="360" w:right="720" w:firstLine="0"/>
        <w:contextualSpacing w:val="0"/>
      </w:pPr>
      <w:r w:rsidDel="00000000" w:rsidR="00000000" w:rsidRPr="00000000">
        <w:rPr>
          <w:rtl w:val="0"/>
        </w:rPr>
      </w:r>
    </w:p>
    <w:p w:rsidR="00000000" w:rsidDel="00000000" w:rsidP="00000000" w:rsidRDefault="00000000" w:rsidRPr="00000000">
      <w:pPr>
        <w:spacing w:after="0" w:before="0" w:line="276" w:lineRule="auto"/>
        <w:ind w:left="360" w:right="720" w:firstLine="0"/>
        <w:contextualSpacing w:val="0"/>
      </w:pPr>
      <w:r w:rsidDel="00000000" w:rsidR="00000000" w:rsidRPr="00000000">
        <w:rPr>
          <w:rtl w:val="0"/>
        </w:rPr>
      </w:r>
    </w:p>
    <w:p w:rsidR="00000000" w:rsidDel="00000000" w:rsidP="00000000" w:rsidRDefault="00000000" w:rsidRPr="00000000">
      <w:pPr>
        <w:spacing w:after="0" w:before="0" w:line="276" w:lineRule="auto"/>
        <w:ind w:left="360" w:right="720" w:firstLine="0"/>
        <w:contextualSpacing w:val="0"/>
      </w:pPr>
      <w:r w:rsidDel="00000000" w:rsidR="00000000" w:rsidRPr="00000000">
        <w:rPr>
          <w:rtl w:val="0"/>
        </w:rPr>
      </w:r>
    </w:p>
    <w:p w:rsidR="00000000" w:rsidDel="00000000" w:rsidP="00000000" w:rsidRDefault="00000000" w:rsidRPr="00000000">
      <w:pPr>
        <w:spacing w:after="0" w:before="0" w:line="276" w:lineRule="auto"/>
        <w:ind w:left="360" w:right="720" w:firstLine="0"/>
        <w:contextualSpacing w:val="0"/>
      </w:pPr>
      <w:r w:rsidDel="00000000" w:rsidR="00000000" w:rsidRPr="00000000">
        <w:rPr>
          <w:rFonts w:ascii="Calibri" w:cs="Calibri" w:eastAsia="Calibri" w:hAnsi="Calibri"/>
          <w:b w:val="1"/>
          <w:sz w:val="22"/>
          <w:szCs w:val="22"/>
          <w:rtl w:val="0"/>
        </w:rPr>
        <w:t xml:space="preserve">Monitoring/Audit Visit Follow-up</w:t>
      </w:r>
    </w:p>
    <w:p w:rsidR="00000000" w:rsidDel="00000000" w:rsidP="00000000" w:rsidRDefault="00000000" w:rsidRPr="00000000">
      <w:pPr>
        <w:spacing w:after="0" w:before="0" w:line="276" w:lineRule="auto"/>
        <w:ind w:left="360" w:right="720" w:firstLine="0"/>
        <w:contextualSpacing w:val="0"/>
      </w:pPr>
      <w:r w:rsidDel="00000000" w:rsidR="00000000" w:rsidRPr="00000000">
        <w:rPr>
          <w:rFonts w:ascii="Calibri" w:cs="Calibri" w:eastAsia="Calibri" w:hAnsi="Calibri"/>
          <w:b w:val="0"/>
          <w:i w:val="1"/>
          <w:color w:val="00b0f0"/>
          <w:sz w:val="22"/>
          <w:szCs w:val="22"/>
          <w:rtl w:val="0"/>
        </w:rPr>
        <w:t xml:space="preserve">[Describe the process for preparing responses to monitor queries, and for maintaining and disseminating visit/audit documentation that includes correspondence, monitoring reports, institutional reporting and responses to monitoring/auditing entities.]</w:t>
      </w:r>
    </w:p>
    <w:p w:rsidR="00000000" w:rsidDel="00000000" w:rsidP="00000000" w:rsidRDefault="00000000" w:rsidRPr="00000000">
      <w:pPr>
        <w:spacing w:after="0" w:line="240" w:lineRule="auto"/>
        <w:ind w:right="720"/>
        <w:contextualSpacing w:val="0"/>
      </w:pPr>
      <w:r w:rsidDel="00000000" w:rsidR="00000000" w:rsidRPr="00000000">
        <w:rPr>
          <w:rtl w:val="0"/>
        </w:rPr>
      </w:r>
    </w:p>
    <w:p w:rsidR="00000000" w:rsidDel="00000000" w:rsidP="00000000" w:rsidRDefault="00000000" w:rsidRPr="00000000">
      <w:pPr>
        <w:widowControl w:val="0"/>
        <w:spacing w:after="0" w:lineRule="auto"/>
        <w:ind w:left="360" w:right="720" w:firstLine="0"/>
        <w:contextualSpacing w:val="0"/>
      </w:pPr>
      <w:r w:rsidDel="00000000" w:rsidR="00000000" w:rsidRPr="00000000">
        <w:rPr>
          <w:b w:val="1"/>
          <w:rtl w:val="0"/>
        </w:rPr>
        <w:t xml:space="preserve">Additional Procedures</w:t>
      </w:r>
      <w:r w:rsidDel="00000000" w:rsidR="00000000" w:rsidRPr="00000000">
        <w:rPr>
          <w:rtl w:val="0"/>
        </w:rPr>
        <w:tab/>
        <w:tab/>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N/A </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relevant procedures. Provide enough detail to ensure the procedure is consistently carried out, without providing so much detail that violations occur due to normal or expected variations in the work.]</w:t>
      </w:r>
      <w:r w:rsidDel="00000000" w:rsidR="00000000" w:rsidRPr="00000000">
        <w:rPr>
          <w:rtl w:val="0"/>
        </w:rPr>
      </w:r>
    </w:p>
    <w:p w:rsidR="00000000" w:rsidDel="00000000" w:rsidP="00000000" w:rsidRDefault="00000000" w:rsidRPr="00000000">
      <w:pPr>
        <w:spacing w:after="0" w:line="240" w:lineRule="auto"/>
        <w:ind w:right="720"/>
        <w:contextualSpacing w:val="0"/>
      </w:pPr>
      <w:r w:rsidDel="00000000" w:rsidR="00000000" w:rsidRPr="00000000">
        <w:rPr>
          <w:rtl w:val="0"/>
        </w:rPr>
      </w:r>
    </w:p>
    <w:p w:rsidR="00000000" w:rsidDel="00000000" w:rsidP="00000000" w:rsidRDefault="00000000" w:rsidRPr="00000000">
      <w:pPr>
        <w:numPr>
          <w:ilvl w:val="0"/>
          <w:numId w:val="2"/>
        </w:numPr>
        <w:spacing w:after="0" w:before="0" w:line="276" w:lineRule="auto"/>
        <w:ind w:left="360" w:right="720" w:hanging="36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REFERENCES</w:t>
      </w:r>
    </w:p>
    <w:p w:rsidR="00000000" w:rsidDel="00000000" w:rsidP="00000000" w:rsidRDefault="00000000" w:rsidRPr="00000000">
      <w:pPr>
        <w:spacing w:after="0" w:before="0" w:line="276" w:lineRule="auto"/>
        <w:ind w:left="360" w:right="720" w:firstLine="0"/>
        <w:contextualSpacing w:val="0"/>
      </w:pPr>
      <w:r w:rsidDel="00000000" w:rsidR="00000000" w:rsidRPr="00000000">
        <w:rPr>
          <w:rtl w:val="0"/>
        </w:rPr>
      </w:r>
    </w:p>
    <w:p w:rsidR="00000000" w:rsidDel="00000000" w:rsidP="00000000" w:rsidRDefault="00000000" w:rsidRPr="00000000">
      <w:pPr>
        <w:spacing w:after="0" w:before="0" w:line="276" w:lineRule="auto"/>
        <w:ind w:left="360" w:right="720" w:firstLine="0"/>
        <w:contextualSpacing w:val="0"/>
      </w:pPr>
      <w:r w:rsidDel="00000000" w:rsidR="00000000" w:rsidRPr="00000000">
        <w:rPr>
          <w:rFonts w:ascii="Calibri" w:cs="Calibri" w:eastAsia="Calibri" w:hAnsi="Calibri"/>
          <w:b w:val="0"/>
          <w:sz w:val="22"/>
          <w:szCs w:val="22"/>
          <w:rtl w:val="0"/>
        </w:rPr>
        <w:t xml:space="preserve">FDA Basics - What does FDA inspect?</w:t>
      </w:r>
      <w:r w:rsidDel="00000000" w:rsidR="00000000" w:rsidRPr="00000000">
        <w:rPr>
          <w:rtl w:val="0"/>
        </w:rPr>
      </w:r>
    </w:p>
    <w:p w:rsidR="00000000" w:rsidDel="00000000" w:rsidP="00000000" w:rsidRDefault="00000000" w:rsidRPr="00000000">
      <w:pPr>
        <w:spacing w:after="0" w:before="0" w:line="276" w:lineRule="auto"/>
        <w:ind w:left="360" w:right="720" w:firstLine="0"/>
        <w:contextualSpacing w:val="0"/>
      </w:pPr>
      <w:hyperlink r:id="rId6">
        <w:r w:rsidDel="00000000" w:rsidR="00000000" w:rsidRPr="00000000">
          <w:rPr>
            <w:rFonts w:ascii="Calibri" w:cs="Calibri" w:eastAsia="Calibri" w:hAnsi="Calibri"/>
            <w:b w:val="0"/>
            <w:color w:val="0000ff"/>
            <w:sz w:val="22"/>
            <w:szCs w:val="22"/>
            <w:u w:val="single"/>
            <w:rtl w:val="0"/>
          </w:rPr>
          <w:t xml:space="preserve">http://www.fda.gov/AboutFDA/Transparency/Basics/ucm194888.htm</w:t>
        </w:r>
      </w:hyperlink>
      <w:hyperlink r:id="rId7">
        <w:r w:rsidDel="00000000" w:rsidR="00000000" w:rsidRPr="00000000">
          <w:rPr>
            <w:rtl w:val="0"/>
          </w:rPr>
        </w:r>
      </w:hyperlink>
    </w:p>
    <w:p w:rsidR="00000000" w:rsidDel="00000000" w:rsidP="00000000" w:rsidRDefault="00000000" w:rsidRPr="00000000">
      <w:pPr>
        <w:spacing w:after="0" w:before="0" w:line="276" w:lineRule="auto"/>
        <w:ind w:left="360" w:right="720" w:firstLine="0"/>
        <w:contextualSpacing w:val="0"/>
      </w:pPr>
      <w:hyperlink r:id="rId8">
        <w:r w:rsidDel="00000000" w:rsidR="00000000" w:rsidRPr="00000000">
          <w:rPr>
            <w:rtl w:val="0"/>
          </w:rPr>
        </w:r>
      </w:hyperlink>
    </w:p>
    <w:p w:rsidR="00000000" w:rsidDel="00000000" w:rsidP="00000000" w:rsidRDefault="00000000" w:rsidRPr="00000000">
      <w:pPr>
        <w:widowControl w:val="0"/>
        <w:spacing w:after="0" w:line="239" w:lineRule="auto"/>
        <w:ind w:right="720" w:firstLine="360"/>
        <w:contextualSpacing w:val="0"/>
      </w:pPr>
      <w:r w:rsidDel="00000000" w:rsidR="00000000" w:rsidRPr="00000000">
        <w:rPr>
          <w:color w:val="0000ff"/>
          <w:u w:val="none"/>
          <w:rtl w:val="0"/>
        </w:rPr>
        <w:t xml:space="preserve">International Conference on Harmonisation</w:t>
      </w:r>
    </w:p>
    <w:p w:rsidR="00000000" w:rsidDel="00000000" w:rsidP="00000000" w:rsidRDefault="00000000" w:rsidRPr="00000000">
      <w:pPr>
        <w:widowControl w:val="0"/>
        <w:spacing w:after="0" w:line="239" w:lineRule="auto"/>
        <w:ind w:right="720" w:firstLine="360"/>
        <w:contextualSpacing w:val="0"/>
      </w:pPr>
      <w:hyperlink r:id="rId9">
        <w:r w:rsidDel="00000000" w:rsidR="00000000" w:rsidRPr="00000000">
          <w:rPr>
            <w:color w:val="0000ff"/>
            <w:u w:val="single"/>
            <w:rtl w:val="0"/>
          </w:rPr>
          <w:t xml:space="preserve">http://www.ich.org/</w:t>
        </w:r>
      </w:hyperlink>
    </w:p>
    <w:p w:rsidR="00000000" w:rsidDel="00000000" w:rsidP="00000000" w:rsidRDefault="00000000" w:rsidRPr="00000000">
      <w:pPr>
        <w:spacing w:after="0" w:lineRule="auto"/>
        <w:ind w:right="720"/>
        <w:contextualSpacing w:val="0"/>
      </w:pPr>
      <w:hyperlink r:id="rId10">
        <w:r w:rsidDel="00000000" w:rsidR="00000000" w:rsidRPr="00000000">
          <w:rPr>
            <w:rtl w:val="0"/>
          </w:rPr>
        </w:r>
      </w:hyperlink>
    </w:p>
    <w:p w:rsidR="00000000" w:rsidDel="00000000" w:rsidP="00000000" w:rsidRDefault="00000000" w:rsidRPr="00000000">
      <w:pPr>
        <w:spacing w:after="0" w:lineRule="auto"/>
        <w:ind w:right="720" w:firstLine="360"/>
        <w:contextualSpacing w:val="0"/>
      </w:pPr>
      <w:r w:rsidDel="00000000" w:rsidR="00000000" w:rsidRPr="00000000">
        <w:rPr>
          <w:rtl w:val="0"/>
        </w:rPr>
        <w:t xml:space="preserve">NIH Glossary and Acronym List</w:t>
      </w:r>
    </w:p>
    <w:p w:rsidR="00000000" w:rsidDel="00000000" w:rsidP="00000000" w:rsidRDefault="00000000" w:rsidRPr="00000000">
      <w:pPr>
        <w:spacing w:after="0" w:lineRule="auto"/>
        <w:ind w:left="360" w:right="720" w:firstLine="0"/>
        <w:contextualSpacing w:val="0"/>
      </w:pPr>
      <w:hyperlink r:id="rId11">
        <w:r w:rsidDel="00000000" w:rsidR="00000000" w:rsidRPr="00000000">
          <w:rPr>
            <w:color w:val="0000ff"/>
            <w:u w:val="single"/>
            <w:rtl w:val="0"/>
          </w:rPr>
          <w:t xml:space="preserve">http://grants.nih.gov/grants/glossary.htm</w:t>
        </w:r>
      </w:hyperlink>
      <w:hyperlink r:id="rId12">
        <w:r w:rsidDel="00000000" w:rsidR="00000000" w:rsidRPr="00000000">
          <w:rPr>
            <w:rtl w:val="0"/>
          </w:rPr>
        </w:r>
      </w:hyperlink>
    </w:p>
    <w:p w:rsidR="00000000" w:rsidDel="00000000" w:rsidP="00000000" w:rsidRDefault="00000000" w:rsidRPr="00000000">
      <w:pPr>
        <w:spacing w:after="0" w:lineRule="auto"/>
        <w:ind w:right="720"/>
        <w:contextualSpacing w:val="0"/>
      </w:pPr>
      <w:hyperlink r:id="rId13">
        <w:r w:rsidDel="00000000" w:rsidR="00000000" w:rsidRPr="00000000">
          <w:rPr>
            <w:rtl w:val="0"/>
          </w:rPr>
        </w:r>
      </w:hyperlink>
    </w:p>
    <w:p w:rsidR="00000000" w:rsidDel="00000000" w:rsidP="00000000" w:rsidRDefault="00000000" w:rsidRPr="00000000">
      <w:pPr>
        <w:spacing w:after="0" w:before="0" w:line="240" w:lineRule="auto"/>
        <w:ind w:left="360" w:right="720" w:firstLine="0"/>
        <w:contextualSpacing w:val="0"/>
      </w:pPr>
      <w:r w:rsidDel="00000000" w:rsidR="00000000" w:rsidRPr="00000000">
        <w:rPr>
          <w:rFonts w:ascii="Calibri" w:cs="Calibri" w:eastAsia="Calibri" w:hAnsi="Calibri"/>
          <w:b w:val="0"/>
          <w:sz w:val="22"/>
          <w:szCs w:val="22"/>
          <w:rtl w:val="0"/>
        </w:rPr>
        <w:t xml:space="preserve">University of Michigan - Quality Assurance and Research Compliance Operations Manual </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hyperlink r:id="rId14">
        <w:r w:rsidDel="00000000" w:rsidR="00000000" w:rsidRPr="00000000">
          <w:rPr>
            <w:rFonts w:ascii="Calibri" w:cs="Calibri" w:eastAsia="Calibri" w:hAnsi="Calibri"/>
            <w:b w:val="0"/>
            <w:color w:val="0000ff"/>
            <w:sz w:val="22"/>
            <w:szCs w:val="22"/>
            <w:u w:val="single"/>
            <w:rtl w:val="0"/>
          </w:rPr>
          <w:t xml:space="preserve">http://www.hrpp.umich.edu/om/Part12.html</w:t>
        </w:r>
      </w:hyperlink>
      <w:r w:rsidDel="00000000" w:rsidR="00000000" w:rsidRPr="00000000">
        <w:rPr>
          <w:rFonts w:ascii="Calibri" w:cs="Calibri" w:eastAsia="Calibri" w:hAnsi="Calibri"/>
          <w:b w:val="0"/>
          <w:color w:val="0000ff"/>
          <w:sz w:val="22"/>
          <w:szCs w:val="22"/>
          <w:rtl w:val="0"/>
        </w:rPr>
        <w:t xml:space="preserve"> </w:t>
      </w:r>
    </w:p>
    <w:p w:rsidR="00000000" w:rsidDel="00000000" w:rsidP="00000000" w:rsidRDefault="00000000" w:rsidRPr="00000000">
      <w:pPr>
        <w:spacing w:after="0" w:before="0" w:line="276" w:lineRule="auto"/>
        <w:ind w:left="360" w:right="720" w:firstLine="0"/>
        <w:contextualSpacing w:val="0"/>
      </w:pPr>
      <w:r w:rsidDel="00000000" w:rsidR="00000000" w:rsidRPr="00000000">
        <w:rPr>
          <w:rtl w:val="0"/>
        </w:rPr>
      </w:r>
    </w:p>
    <w:p w:rsidR="00000000" w:rsidDel="00000000" w:rsidP="00000000" w:rsidRDefault="00000000" w:rsidRPr="00000000">
      <w:pPr>
        <w:spacing w:after="0" w:before="0" w:line="276" w:lineRule="auto"/>
        <w:ind w:left="360" w:right="720" w:firstLine="0"/>
        <w:contextualSpacing w:val="0"/>
      </w:pPr>
      <w:r w:rsidDel="00000000" w:rsidR="00000000" w:rsidRPr="00000000">
        <w:rPr>
          <w:rFonts w:ascii="Calibri" w:cs="Calibri" w:eastAsia="Calibri" w:hAnsi="Calibri"/>
          <w:b w:val="0"/>
          <w:sz w:val="22"/>
          <w:szCs w:val="22"/>
          <w:rtl w:val="0"/>
        </w:rPr>
        <w:t xml:space="preserve">University of Michigan - Medical School Institutional Review Board (IRBMED) Glossary</w:t>
      </w:r>
      <w:r w:rsidDel="00000000" w:rsidR="00000000" w:rsidRPr="00000000">
        <w:rPr>
          <w:rtl w:val="0"/>
        </w:rPr>
      </w:r>
    </w:p>
    <w:p w:rsidR="00000000" w:rsidDel="00000000" w:rsidP="00000000" w:rsidRDefault="00000000" w:rsidRPr="00000000">
      <w:pPr>
        <w:spacing w:after="0" w:before="0" w:line="276" w:lineRule="auto"/>
        <w:ind w:left="360" w:right="720" w:firstLine="0"/>
        <w:contextualSpacing w:val="0"/>
      </w:pPr>
      <w:hyperlink r:id="rId15">
        <w:r w:rsidDel="00000000" w:rsidR="00000000" w:rsidRPr="00000000">
          <w:rPr>
            <w:rFonts w:ascii="Calibri" w:cs="Calibri" w:eastAsia="Calibri" w:hAnsi="Calibri"/>
            <w:b w:val="0"/>
            <w:color w:val="0000ff"/>
            <w:sz w:val="22"/>
            <w:szCs w:val="22"/>
            <w:u w:val="single"/>
            <w:rtl w:val="0"/>
          </w:rPr>
          <w:t xml:space="preserve">http://medicine.umich.edu/medschool/research/office-research/institutional-review-boards/guidance/glossary</w:t>
        </w:r>
      </w:hyperlink>
      <w:hyperlink r:id="rId16">
        <w:r w:rsidDel="00000000" w:rsidR="00000000" w:rsidRPr="00000000">
          <w:rPr>
            <w:rtl w:val="0"/>
          </w:rPr>
        </w:r>
      </w:hyperlink>
    </w:p>
    <w:p w:rsidR="00000000" w:rsidDel="00000000" w:rsidP="00000000" w:rsidRDefault="00000000" w:rsidRPr="00000000">
      <w:pPr>
        <w:spacing w:after="0" w:before="0" w:line="276" w:lineRule="auto"/>
        <w:ind w:left="360" w:right="720" w:firstLine="0"/>
        <w:contextualSpacing w:val="0"/>
      </w:pPr>
      <w:hyperlink r:id="rId17">
        <w:r w:rsidDel="00000000" w:rsidR="00000000" w:rsidRPr="00000000">
          <w:rPr>
            <w:rtl w:val="0"/>
          </w:rPr>
        </w:r>
      </w:hyperlink>
    </w:p>
    <w:p w:rsidR="00000000" w:rsidDel="00000000" w:rsidP="00000000" w:rsidRDefault="00000000" w:rsidRPr="00000000">
      <w:pPr>
        <w:spacing w:after="0" w:before="0" w:line="276" w:lineRule="auto"/>
        <w:ind w:left="360" w:right="720" w:firstLine="0"/>
        <w:contextualSpacing w:val="0"/>
      </w:pPr>
      <w:r w:rsidDel="00000000" w:rsidR="00000000" w:rsidRPr="00000000">
        <w:rPr>
          <w:rFonts w:ascii="Calibri" w:cs="Calibri" w:eastAsia="Calibri" w:hAnsi="Calibri"/>
          <w:b w:val="0"/>
          <w:sz w:val="22"/>
          <w:szCs w:val="22"/>
          <w:rtl w:val="0"/>
        </w:rPr>
        <w:t xml:space="preserve">University of Michigan - Medical School Institutional Review Board (IRBMED) Standard Operating Procedures (SOPs)</w:t>
      </w: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bookmarkStart w:colFirst="0" w:colLast="0" w:name="h.gjdgxs" w:id="0"/>
      <w:bookmarkEnd w:id="0"/>
      <w:hyperlink r:id="rId18">
        <w:r w:rsidDel="00000000" w:rsidR="00000000" w:rsidRPr="00000000">
          <w:rPr>
            <w:rFonts w:ascii="Calibri" w:cs="Calibri" w:eastAsia="Calibri" w:hAnsi="Calibri"/>
            <w:b w:val="0"/>
            <w:color w:val="0000ff"/>
            <w:sz w:val="22"/>
            <w:szCs w:val="22"/>
            <w:u w:val="single"/>
            <w:rtl w:val="0"/>
          </w:rPr>
          <w:t xml:space="preserve">http://medicine.umich.edu/medschool/research/office-research/institutional-review-boards/guidance/standard-operating-procedures</w:t>
        </w:r>
      </w:hyperlink>
      <w:hyperlink r:id="rId19">
        <w:r w:rsidDel="00000000" w:rsidR="00000000" w:rsidRPr="00000000">
          <w:rPr>
            <w:rtl w:val="0"/>
          </w:rPr>
        </w:r>
      </w:hyperlink>
    </w:p>
    <w:p w:rsidR="00000000" w:rsidDel="00000000" w:rsidP="00000000" w:rsidRDefault="00000000" w:rsidRPr="00000000">
      <w:pPr>
        <w:widowControl w:val="0"/>
        <w:spacing w:after="0" w:line="240" w:lineRule="auto"/>
        <w:ind w:left="360" w:right="720" w:firstLine="0"/>
        <w:contextualSpacing w:val="0"/>
      </w:pPr>
      <w:hyperlink r:id="rId20">
        <w:r w:rsidDel="00000000" w:rsidR="00000000" w:rsidRPr="00000000">
          <w:rPr>
            <w:rtl w:val="0"/>
          </w:rPr>
        </w:r>
      </w:hyperlink>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University of Michigan - Office of Human Research Compliance Review (OHRCR)</w:t>
      </w:r>
    </w:p>
    <w:p w:rsidR="00000000" w:rsidDel="00000000" w:rsidP="00000000" w:rsidRDefault="00000000" w:rsidRPr="00000000">
      <w:pPr>
        <w:widowControl w:val="0"/>
        <w:spacing w:after="0" w:line="240" w:lineRule="auto"/>
        <w:ind w:left="360" w:right="720" w:firstLine="0"/>
        <w:contextualSpacing w:val="0"/>
      </w:pPr>
      <w:hyperlink r:id="rId21">
        <w:r w:rsidDel="00000000" w:rsidR="00000000" w:rsidRPr="00000000">
          <w:rPr>
            <w:color w:val="0000ff"/>
            <w:u w:val="single"/>
            <w:rtl w:val="0"/>
          </w:rPr>
          <w:t xml:space="preserve">http://research-compliance.umich.edu/office-human-research-compliance-review-ohrcr</w:t>
        </w:r>
      </w:hyperlink>
      <w:hyperlink r:id="rId22">
        <w:r w:rsidDel="00000000" w:rsidR="00000000" w:rsidRPr="00000000">
          <w:rPr>
            <w:rtl w:val="0"/>
          </w:rPr>
        </w:r>
      </w:hyperlink>
    </w:p>
    <w:p w:rsidR="00000000" w:rsidDel="00000000" w:rsidP="00000000" w:rsidRDefault="00000000" w:rsidRPr="00000000">
      <w:pPr>
        <w:spacing w:after="0" w:before="0" w:line="240" w:lineRule="auto"/>
        <w:ind w:left="360" w:firstLine="0"/>
        <w:contextualSpacing w:val="0"/>
      </w:pPr>
      <w:r w:rsidDel="00000000" w:rsidR="00000000" w:rsidRPr="00000000">
        <w:rPr>
          <w:rFonts w:ascii="Calibri" w:cs="Calibri" w:eastAsia="Calibri" w:hAnsi="Calibri"/>
          <w:b w:val="0"/>
          <w:sz w:val="22"/>
          <w:szCs w:val="22"/>
          <w:rtl w:val="0"/>
        </w:rPr>
        <w:t xml:space="preserve">(</w:t>
      </w:r>
      <w:r w:rsidDel="00000000" w:rsidR="00000000" w:rsidRPr="00000000">
        <w:rPr>
          <w:rFonts w:ascii="Calibri" w:cs="Calibri" w:eastAsia="Calibri" w:hAnsi="Calibri"/>
          <w:b w:val="1"/>
          <w:sz w:val="22"/>
          <w:szCs w:val="22"/>
          <w:rtl w:val="0"/>
        </w:rPr>
        <w:t xml:space="preserve">MANDATORY LANGUAGE</w:t>
      </w:r>
      <w:r w:rsidDel="00000000" w:rsidR="00000000" w:rsidRPr="00000000">
        <w:rPr>
          <w:rFonts w:ascii="Calibri" w:cs="Calibri" w:eastAsia="Calibri" w:hAnsi="Calibri"/>
          <w:b w:val="0"/>
          <w:sz w:val="22"/>
          <w:szCs w:val="22"/>
          <w:rtl w:val="0"/>
        </w:rPr>
        <w:t xml:space="preserve">)</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SOP references]</w:t>
      </w:r>
    </w:p>
    <w:p w:rsidR="00000000" w:rsidDel="00000000" w:rsidP="00000000" w:rsidRDefault="00000000" w:rsidRPr="00000000">
      <w:pPr>
        <w:spacing w:after="0" w:before="0" w:line="276" w:lineRule="auto"/>
        <w:ind w:left="360" w:right="72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76" w:lineRule="auto"/>
        <w:ind w:left="360" w:right="720" w:hanging="360"/>
        <w:contextualSpacing w:val="1"/>
        <w:rPr/>
      </w:pPr>
      <w:r w:rsidDel="00000000" w:rsidR="00000000" w:rsidRPr="00000000">
        <w:rPr>
          <w:rFonts w:ascii="Calibri" w:cs="Calibri" w:eastAsia="Calibri" w:hAnsi="Calibri"/>
          <w:b w:val="1"/>
          <w:sz w:val="22"/>
          <w:szCs w:val="22"/>
          <w:rtl w:val="0"/>
        </w:rPr>
        <w:t xml:space="preserve">APPENDICES</w:t>
      </w:r>
      <w:r w:rsidDel="00000000" w:rsidR="00000000" w:rsidRPr="00000000">
        <w:rPr>
          <w:rtl w:val="0"/>
        </w:rPr>
      </w:r>
    </w:p>
    <w:p w:rsidR="00000000" w:rsidDel="00000000" w:rsidP="00000000" w:rsidRDefault="00000000" w:rsidRPr="00000000">
      <w:pPr>
        <w:spacing w:after="0" w:line="240" w:lineRule="auto"/>
        <w:ind w:right="936" w:firstLine="360"/>
        <w:contextualSpacing w:val="0"/>
      </w:pPr>
      <w:r w:rsidDel="00000000" w:rsidR="00000000" w:rsidRPr="00000000">
        <w:rPr>
          <w:rtl w:val="0"/>
        </w:rPr>
        <w:t xml:space="preserve">(</w:t>
      </w:r>
      <w:r w:rsidDel="00000000" w:rsidR="00000000" w:rsidRPr="00000000">
        <w:rPr>
          <w:b w:val="1"/>
          <w:rtl w:val="0"/>
        </w:rPr>
        <w:t xml:space="preserve">MANDATORY LANGUAGE</w:t>
      </w:r>
      <w:r w:rsidDel="00000000" w:rsidR="00000000" w:rsidRPr="00000000">
        <w:rPr>
          <w:rtl w:val="0"/>
        </w:rPr>
        <w:t xml:space="preserve">)</w:t>
      </w:r>
      <w:r w:rsidDel="00000000" w:rsidR="00000000" w:rsidRPr="00000000">
        <w:rPr>
          <w:rtl w:val="0"/>
        </w:rPr>
      </w:r>
    </w:p>
    <w:p w:rsidR="00000000" w:rsidDel="00000000" w:rsidP="00000000" w:rsidRDefault="00000000" w:rsidRPr="00000000">
      <w:pPr>
        <w:tabs>
          <w:tab w:val="left" w:pos="3210"/>
        </w:tabs>
        <w:spacing w:after="0" w:line="240" w:lineRule="auto"/>
        <w:ind w:right="-20"/>
        <w:contextualSpacing w:val="0"/>
      </w:pPr>
      <w:r w:rsidDel="00000000" w:rsidR="00000000" w:rsidRPr="00000000">
        <w:rPr>
          <w:rFonts w:ascii="Calibri" w:cs="Calibri" w:eastAsia="Calibri" w:hAnsi="Calibri"/>
          <w:rtl w:val="0"/>
        </w:rPr>
        <w:tab/>
      </w:r>
    </w:p>
    <w:p w:rsidR="00000000" w:rsidDel="00000000" w:rsidP="00000000" w:rsidRDefault="00000000" w:rsidRPr="00000000">
      <w:pPr>
        <w:widowControl w:val="0"/>
        <w:spacing w:after="0" w:line="240" w:lineRule="auto"/>
        <w:ind w:right="720" w:firstLine="360"/>
        <w:contextualSpacing w:val="0"/>
      </w:pPr>
      <w:r w:rsidDel="00000000" w:rsidR="00000000" w:rsidRPr="00000000">
        <w:rPr>
          <w:i w:val="1"/>
          <w:color w:val="00b0f0"/>
          <w:rtl w:val="0"/>
        </w:rPr>
        <w:t xml:space="preserve">[Optional: Insert any additional SOP appendices]</w:t>
      </w:r>
      <w:r w:rsidDel="00000000" w:rsidR="00000000" w:rsidRPr="00000000">
        <w:rPr>
          <w:rtl w:val="0"/>
        </w:rPr>
        <w:t xml:space="preserve"> </w:t>
      </w:r>
    </w:p>
    <w:sectPr>
      <w:headerReference r:id="rId23" w:type="default"/>
      <w:footerReference r:id="rId24" w:type="default"/>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 w:name="MS Gothic"/>
  <w:font w:name="Arial"/>
  <w:font w:name="Helvetica Neue">
    <w:embedRegular r:id="rId1" w:subsetted="0"/>
    <w:embedBold r:id="rId2" w:subsetted="0"/>
    <w:embedItalic r:id="rId3" w:subsetted="0"/>
    <w:embedBoldItalic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jc w:val="right"/>
    </w:pPr>
    <w:r w:rsidDel="00000000" w:rsidR="00000000" w:rsidRPr="00000000">
      <w:rPr>
        <w:rtl w:val="0"/>
      </w:rPr>
    </w:r>
  </w:p>
  <w:tbl>
    <w:tblPr>
      <w:tblStyle w:val="Table2"/>
      <w:bidi w:val="0"/>
      <w:tblW w:w="9576.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2808"/>
      <w:gridCol w:w="360"/>
      <w:gridCol w:w="4050"/>
      <w:gridCol w:w="360"/>
      <w:gridCol w:w="1998"/>
      <w:tblGridChange w:id="0">
        <w:tblGrid>
          <w:gridCol w:w="2808"/>
          <w:gridCol w:w="360"/>
          <w:gridCol w:w="4050"/>
          <w:gridCol w:w="360"/>
          <w:gridCol w:w="1998"/>
        </w:tblGrid>
      </w:tblGridChange>
    </w:tblGrid>
    <w:tr>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r>
    <w:tr>
      <w:tc>
        <w:tcPr>
          <w:tcBorders>
            <w:left w:color="000000" w:space="0" w:sz="0" w:val="nil"/>
            <w:bottom w:color="000000" w:space="0" w:sz="0" w:val="nil"/>
            <w:right w:color="000000" w:space="0" w:sz="0" w:val="nil"/>
          </w:tcBorders>
          <w:vAlign w:val="bottom"/>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Fonts w:ascii="Calibri" w:cs="Calibri" w:eastAsia="Calibri" w:hAnsi="Calibri"/>
              <w:b w:val="1"/>
              <w:sz w:val="22"/>
              <w:szCs w:val="22"/>
              <w:rtl w:val="0"/>
            </w:rPr>
            <w:t xml:space="preserve">Approver Name    </w:t>
          </w:r>
          <w:r w:rsidDel="00000000" w:rsidR="00000000" w:rsidRPr="00000000">
            <w:rPr>
              <w:rFonts w:ascii="Calibri" w:cs="Calibri" w:eastAsia="Calibri" w:hAnsi="Calibri"/>
              <w:b w:val="0"/>
              <w:sz w:val="16"/>
              <w:szCs w:val="16"/>
              <w:rtl w:val="0"/>
            </w:rPr>
            <w:t xml:space="preserve">(please print)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left w:color="000000" w:space="0" w:sz="0" w:val="nil"/>
            <w:bottom w:color="000000" w:space="0" w:sz="0" w:val="nil"/>
            <w:right w:color="000000" w:space="0" w:sz="0" w:val="nil"/>
          </w:tcBorders>
          <w:vAlign w:val="bottom"/>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Fonts w:ascii="Calibri" w:cs="Calibri" w:eastAsia="Calibri" w:hAnsi="Calibri"/>
              <w:b w:val="1"/>
              <w:sz w:val="22"/>
              <w:szCs w:val="22"/>
              <w:rtl w:val="0"/>
            </w:rPr>
            <w:t xml:space="preserve">Approver Signature           </w:t>
          </w:r>
          <w:r w:rsidDel="00000000" w:rsidR="00000000" w:rsidRPr="00000000">
            <w:rPr>
              <w:rFonts w:ascii="Calibri" w:cs="Calibri" w:eastAsia="Calibri" w:hAnsi="Calibri"/>
              <w:b w:val="0"/>
              <w:sz w:val="16"/>
              <w:szCs w:val="16"/>
              <w:rtl w:val="0"/>
            </w:rPr>
            <w:t xml:space="preserve">(Required page 1 only)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left w:color="000000" w:space="0" w:sz="0" w:val="nil"/>
            <w:bottom w:color="000000" w:space="0" w:sz="0" w:val="nil"/>
            <w:right w:color="000000" w:space="0" w:sz="0" w:val="nil"/>
          </w:tcBorders>
          <w:vAlign w:val="bottom"/>
        </w:tcPr>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Fonts w:ascii="Calibri" w:cs="Calibri" w:eastAsia="Calibri" w:hAnsi="Calibri"/>
              <w:b w:val="1"/>
              <w:sz w:val="22"/>
              <w:szCs w:val="22"/>
              <w:rtl w:val="0"/>
            </w:rPr>
            <w:t xml:space="preserve">Effective Date</w:t>
          </w:r>
        </w:p>
      </w:tc>
    </w:tr>
  </w:tbl>
  <w:p w:rsidR="00000000" w:rsidDel="00000000" w:rsidP="00000000" w:rsidRDefault="00000000" w:rsidRPr="00000000">
    <w:pPr>
      <w:tabs>
        <w:tab w:val="center" w:pos="4680"/>
        <w:tab w:val="right" w:pos="9360"/>
      </w:tabs>
      <w:spacing w:after="288"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jc w:val="right"/>
    </w:pPr>
    <w:r w:rsidDel="00000000" w:rsidR="00000000" w:rsidRPr="00000000">
      <w:rPr>
        <w:rFonts w:ascii="Calibri" w:cs="Calibri" w:eastAsia="Calibri" w:hAnsi="Calibri"/>
        <w:b w:val="0"/>
        <w:sz w:val="22"/>
        <w:szCs w:val="22"/>
        <w:rtl w:val="0"/>
      </w:rPr>
      <w:t xml:space="preserve">Page </w:t>
    </w:r>
    <w:fldSimple w:instr="PAGE" w:fldLock="0" w:dirty="0">
      <w:r w:rsidDel="00000000" w:rsidR="00000000" w:rsidRPr="00000000">
        <w:rPr>
          <w:rFonts w:ascii="Calibri" w:cs="Calibri" w:eastAsia="Calibri" w:hAnsi="Calibri"/>
          <w:b w:val="0"/>
          <w:sz w:val="22"/>
          <w:szCs w:val="22"/>
        </w:rPr>
      </w:r>
    </w:fldSimple>
    <w:r w:rsidDel="00000000" w:rsidR="00000000" w:rsidRPr="00000000">
      <w:rPr>
        <w:rFonts w:ascii="Calibri" w:cs="Calibri" w:eastAsia="Calibri" w:hAnsi="Calibri"/>
        <w:b w:val="0"/>
        <w:sz w:val="22"/>
        <w:szCs w:val="22"/>
        <w:rtl w:val="0"/>
      </w:rPr>
      <w:t xml:space="preserve"> of </w:t>
    </w:r>
    <w:fldSimple w:instr="NUMPAGES" w:fldLock="0" w:dirty="0">
      <w:r w:rsidDel="00000000" w:rsidR="00000000" w:rsidRPr="00000000">
        <w:rPr>
          <w:rFonts w:ascii="Calibri" w:cs="Calibri" w:eastAsia="Calibri" w:hAnsi="Calibri"/>
          <w:b w:val="0"/>
          <w:sz w:val="22"/>
          <w:szCs w:val="22"/>
        </w:rPr>
      </w:r>
    </w:fldSimple>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15"/>
      <w:gridCol w:w="3593"/>
      <w:gridCol w:w="1710"/>
      <w:gridCol w:w="2358"/>
      <w:tblGridChange w:id="0">
        <w:tblGrid>
          <w:gridCol w:w="1915"/>
          <w:gridCol w:w="3593"/>
          <w:gridCol w:w="1710"/>
          <w:gridCol w:w="2358"/>
        </w:tblGrid>
      </w:tblGridChange>
    </w:tblGrid>
    <w:tr>
      <w:tc>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1"/>
              <w:sz w:val="22"/>
              <w:szCs w:val="22"/>
              <w:rtl w:val="0"/>
            </w:rPr>
            <w:t xml:space="preserve">ORGANIZATION:</w:t>
          </w:r>
        </w:p>
      </w:tc>
      <w:tc>
        <w:tcPr>
          <w:gridSpan w:val="3"/>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color w:val="00b0f0"/>
              <w:rtl w:val="0"/>
            </w:rPr>
            <w:t xml:space="preserve">[Insert the name of the Organization, Department or Project which owns the SOP]</w:t>
          </w:r>
        </w:p>
      </w:tc>
    </w:tr>
    <w:tr>
      <w:tc>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1"/>
              <w:sz w:val="22"/>
              <w:szCs w:val="22"/>
              <w:rtl w:val="0"/>
            </w:rPr>
            <w:t xml:space="preserve">SOP TITLE:</w:t>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tc>
      <w:tc>
        <w:tcPr>
          <w:gridSpan w:val="3"/>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1"/>
              <w:sz w:val="22"/>
              <w:szCs w:val="22"/>
              <w:rtl w:val="0"/>
            </w:rPr>
            <w:t xml:space="preserve">Monitoring and Audit Visits</w:t>
          </w:r>
          <w:r w:rsidDel="00000000" w:rsidR="00000000" w:rsidRPr="00000000">
            <w:rPr>
              <w:rtl w:val="0"/>
            </w:rPr>
          </w:r>
        </w:p>
      </w:tc>
    </w:tr>
    <w:tr>
      <w:tc>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1"/>
              <w:sz w:val="22"/>
              <w:szCs w:val="22"/>
              <w:rtl w:val="0"/>
            </w:rPr>
            <w:t xml:space="preserve">SOP ID:</w:t>
          </w:r>
        </w:p>
      </w:tc>
      <w:tc>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0"/>
              <w:color w:val="00b0f0"/>
              <w:sz w:val="22"/>
              <w:szCs w:val="22"/>
              <w:rtl w:val="0"/>
            </w:rPr>
            <w:t xml:space="preserve">[Insert the SOP identifier]</w:t>
          </w:r>
        </w:p>
      </w:tc>
      <w:tc>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1"/>
              <w:sz w:val="22"/>
              <w:szCs w:val="22"/>
              <w:rtl w:val="0"/>
            </w:rPr>
            <w:t xml:space="preserve">SOP VERSION:</w:t>
          </w:r>
        </w:p>
      </w:tc>
      <w:tc>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0"/>
              <w:color w:val="00b0f0"/>
              <w:sz w:val="22"/>
              <w:szCs w:val="22"/>
              <w:rtl w:val="0"/>
            </w:rPr>
            <w:t xml:space="preserve">[Insert the SOP version]</w:t>
          </w:r>
        </w:p>
      </w:tc>
    </w:tr>
  </w:tbl>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125" w:firstLine="765"/>
      </w:pPr>
      <w:rPr>
        <w:rFonts w:ascii="Arial" w:cs="Arial" w:eastAsia="Arial" w:hAnsi="Arial"/>
      </w:rPr>
    </w:lvl>
    <w:lvl w:ilvl="1">
      <w:start w:val="1"/>
      <w:numFmt w:val="bullet"/>
      <w:lvlText w:val="o"/>
      <w:lvlJc w:val="left"/>
      <w:pPr>
        <w:ind w:left="1845" w:firstLine="1485"/>
      </w:pPr>
      <w:rPr>
        <w:rFonts w:ascii="Arial" w:cs="Arial" w:eastAsia="Arial" w:hAnsi="Arial"/>
      </w:rPr>
    </w:lvl>
    <w:lvl w:ilvl="2">
      <w:start w:val="1"/>
      <w:numFmt w:val="bullet"/>
      <w:lvlText w:val="▪"/>
      <w:lvlJc w:val="left"/>
      <w:pPr>
        <w:ind w:left="2565" w:firstLine="2205"/>
      </w:pPr>
      <w:rPr>
        <w:rFonts w:ascii="Arial" w:cs="Arial" w:eastAsia="Arial" w:hAnsi="Arial"/>
      </w:rPr>
    </w:lvl>
    <w:lvl w:ilvl="3">
      <w:start w:val="1"/>
      <w:numFmt w:val="bullet"/>
      <w:lvlText w:val="●"/>
      <w:lvlJc w:val="left"/>
      <w:pPr>
        <w:ind w:left="3285" w:firstLine="2925"/>
      </w:pPr>
      <w:rPr>
        <w:rFonts w:ascii="Arial" w:cs="Arial" w:eastAsia="Arial" w:hAnsi="Arial"/>
      </w:rPr>
    </w:lvl>
    <w:lvl w:ilvl="4">
      <w:start w:val="1"/>
      <w:numFmt w:val="bullet"/>
      <w:lvlText w:val="o"/>
      <w:lvlJc w:val="left"/>
      <w:pPr>
        <w:ind w:left="4005" w:firstLine="3645"/>
      </w:pPr>
      <w:rPr>
        <w:rFonts w:ascii="Arial" w:cs="Arial" w:eastAsia="Arial" w:hAnsi="Arial"/>
      </w:rPr>
    </w:lvl>
    <w:lvl w:ilvl="5">
      <w:start w:val="1"/>
      <w:numFmt w:val="bullet"/>
      <w:lvlText w:val="▪"/>
      <w:lvlJc w:val="left"/>
      <w:pPr>
        <w:ind w:left="4725" w:firstLine="4365"/>
      </w:pPr>
      <w:rPr>
        <w:rFonts w:ascii="Arial" w:cs="Arial" w:eastAsia="Arial" w:hAnsi="Arial"/>
      </w:rPr>
    </w:lvl>
    <w:lvl w:ilvl="6">
      <w:start w:val="1"/>
      <w:numFmt w:val="bullet"/>
      <w:lvlText w:val="●"/>
      <w:lvlJc w:val="left"/>
      <w:pPr>
        <w:ind w:left="5445" w:firstLine="5085"/>
      </w:pPr>
      <w:rPr>
        <w:rFonts w:ascii="Arial" w:cs="Arial" w:eastAsia="Arial" w:hAnsi="Arial"/>
      </w:rPr>
    </w:lvl>
    <w:lvl w:ilvl="7">
      <w:start w:val="1"/>
      <w:numFmt w:val="bullet"/>
      <w:lvlText w:val="o"/>
      <w:lvlJc w:val="left"/>
      <w:pPr>
        <w:ind w:left="6165" w:firstLine="5805"/>
      </w:pPr>
      <w:rPr>
        <w:rFonts w:ascii="Arial" w:cs="Arial" w:eastAsia="Arial" w:hAnsi="Arial"/>
      </w:rPr>
    </w:lvl>
    <w:lvl w:ilvl="8">
      <w:start w:val="1"/>
      <w:numFmt w:val="bullet"/>
      <w:lvlText w:val="▪"/>
      <w:lvlJc w:val="left"/>
      <w:pPr>
        <w:ind w:left="6885" w:firstLine="6525"/>
      </w:pPr>
      <w:rPr>
        <w:rFonts w:ascii="Arial" w:cs="Arial" w:eastAsia="Arial" w:hAnsi="Arial"/>
      </w:rPr>
    </w:lvl>
  </w:abstractNum>
  <w:abstractNum w:abstractNumId="2">
    <w:lvl w:ilvl="0">
      <w:start w:val="1"/>
      <w:numFmt w:val="decimal"/>
      <w:lvlText w:val="%1."/>
      <w:lvlJc w:val="left"/>
      <w:pPr>
        <w:ind w:left="360" w:firstLine="0"/>
      </w:pPr>
      <w:rPr>
        <w:b w:val="1"/>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medicine.umich.edu/medschool/research/office-research/institutional-review-boards/guidance/standard-operating-procedures" TargetMode="External"/><Relationship Id="rId11" Type="http://schemas.openxmlformats.org/officeDocument/2006/relationships/hyperlink" Target="http://grants.nih.gov/grants/glossary.htm" TargetMode="External"/><Relationship Id="rId22" Type="http://schemas.openxmlformats.org/officeDocument/2006/relationships/hyperlink" Target="http://research-compliance.umich.edu/office-human-research-compliance-review-ohrcr" TargetMode="External"/><Relationship Id="rId10" Type="http://schemas.openxmlformats.org/officeDocument/2006/relationships/hyperlink" Target="http://www.ich.org/" TargetMode="External"/><Relationship Id="rId21" Type="http://schemas.openxmlformats.org/officeDocument/2006/relationships/hyperlink" Target="http://research-compliance.umich.edu/office-human-research-compliance-review-ohrcr" TargetMode="External"/><Relationship Id="rId13" Type="http://schemas.openxmlformats.org/officeDocument/2006/relationships/hyperlink" Target="http://grants.nih.gov/grants/glossary.htm" TargetMode="External"/><Relationship Id="rId24" Type="http://schemas.openxmlformats.org/officeDocument/2006/relationships/footer" Target="footer1.xml"/><Relationship Id="rId12" Type="http://schemas.openxmlformats.org/officeDocument/2006/relationships/hyperlink" Target="http://grants.nih.gov/grants/glossary.htm" TargetMode="External"/><Relationship Id="rId23" Type="http://schemas.openxmlformats.org/officeDocument/2006/relationships/header" Target="head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ich.org/" TargetMode="External"/><Relationship Id="rId15" Type="http://schemas.openxmlformats.org/officeDocument/2006/relationships/hyperlink" Target="http://medicine.umich.edu/medschool/research/office-research/institutional-review-boards/guidance/glossary" TargetMode="External"/><Relationship Id="rId14" Type="http://schemas.openxmlformats.org/officeDocument/2006/relationships/hyperlink" Target="http://www.hrpp.umich.edu/om/Part12.html" TargetMode="External"/><Relationship Id="rId17" Type="http://schemas.openxmlformats.org/officeDocument/2006/relationships/hyperlink" Target="http://medicine.umich.edu/medschool/research/office-research/institutional-review-boards/guidance/glossary" TargetMode="External"/><Relationship Id="rId16" Type="http://schemas.openxmlformats.org/officeDocument/2006/relationships/hyperlink" Target="http://medicine.umich.edu/medschool/research/office-research/institutional-review-boards/guidance/glossary" TargetMode="External"/><Relationship Id="rId5" Type="http://schemas.openxmlformats.org/officeDocument/2006/relationships/hyperlink" Target="http://medicine.umich.edu/medschool/research/office-research/institutional-review-boards/guidance/glossary" TargetMode="External"/><Relationship Id="rId19" Type="http://schemas.openxmlformats.org/officeDocument/2006/relationships/hyperlink" Target="http://medicine.umich.edu/medschool/research/office-research/institutional-review-boards/guidance/standard-operating-procedures" TargetMode="External"/><Relationship Id="rId6" Type="http://schemas.openxmlformats.org/officeDocument/2006/relationships/hyperlink" Target="http://www.fda.gov/AboutFDA/Transparency/Basics/ucm194888.htm" TargetMode="External"/><Relationship Id="rId18" Type="http://schemas.openxmlformats.org/officeDocument/2006/relationships/hyperlink" Target="http://medicine.umich.edu/medschool/research/office-research/institutional-review-boards/guidance/standard-operating-procedures" TargetMode="External"/><Relationship Id="rId7" Type="http://schemas.openxmlformats.org/officeDocument/2006/relationships/hyperlink" Target="http://www.fda.gov/AboutFDA/Transparency/Basics/ucm194888.htm" TargetMode="External"/><Relationship Id="rId8" Type="http://schemas.openxmlformats.org/officeDocument/2006/relationships/hyperlink" Target="http://www.fda.gov/AboutFDA/Transparency/Basics/ucm194888.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