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right="720"/>
        <w:contextualSpacing w:val="0"/>
      </w:pPr>
      <w:r w:rsidDel="00000000" w:rsidR="00000000" w:rsidRPr="00000000">
        <w:rPr>
          <w:b w:val="1"/>
          <w:i w:val="1"/>
          <w:sz w:val="28"/>
          <w:szCs w:val="28"/>
          <w:rtl w:val="0"/>
        </w:rPr>
        <w:t xml:space="preserve">Archiving Clinical Trial Study Documentation</w:t>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numPr>
          <w:ilvl w:val="0"/>
          <w:numId w:val="5"/>
        </w:numPr>
        <w:spacing w:after="0" w:before="0" w:line="276"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PURPOSE</w:t>
      </w:r>
    </w:p>
    <w:p w:rsidR="00000000" w:rsidDel="00000000" w:rsidP="00000000" w:rsidRDefault="00000000" w:rsidRPr="00000000">
      <w:pPr>
        <w:spacing w:after="0" w:before="0" w:line="276"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To ensure clinical trial study-related documentation is stored, retained, and is retrievable for reporting, auditing and regulatory purposes. </w:t>
      </w:r>
      <w:r w:rsidDel="00000000" w:rsidR="00000000" w:rsidRPr="00000000">
        <w:rPr>
          <w:b w:val="1"/>
          <w:rtl w:val="0"/>
        </w:rPr>
        <w:t xml:space="preserve">(MANDATORY LANGUAGE)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SCOPE </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This procedure applies to clinical trial study-related records that include, but are not limited to: patient research files, regulatory information, e-mail, telephone records, and all other correspondence.  The process for archival of the electronic research data, related programming, audit trails, and summarization data is not within the scope of this Standard Operating Procedure. </w:t>
      </w: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necessary to further define the scope of this SOP.]</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POLICY</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This Standard Operating Procedure supports the Good Clinical Practices guidelines established by the International Conference on Harmonization (ICH), Section 4.9.7: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rtl w:val="0"/>
        </w:rPr>
        <w:t xml:space="preserve">Upon request of the monitor, auditor, IRB/IEC, or regulatory authority, the investigator/institution should make available for direct access all requested trial-related records.</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line="239" w:lineRule="auto"/>
        <w:ind w:left="360" w:right="720" w:firstLine="0"/>
        <w:contextualSpacing w:val="0"/>
      </w:pPr>
      <w:r w:rsidDel="00000000" w:rsidR="00000000" w:rsidRPr="00000000">
        <w:rPr>
          <w:rtl w:val="0"/>
        </w:rPr>
        <w:t xml:space="preserve">FDA Regulation</w:t>
        <w:tab/>
        <w:tab/>
        <w:tab/>
        <w:tab/>
      </w:r>
      <w:r w:rsidDel="00000000" w:rsidR="00000000" w:rsidRPr="00000000">
        <w:rPr>
          <w:rFonts w:ascii="MS Gothic" w:cs="MS Gothic" w:eastAsia="MS Gothic" w:hAnsi="MS Gothic"/>
          <w:rtl w:val="0"/>
        </w:rPr>
        <w:t xml:space="preserve">☐</w:t>
      </w:r>
      <w:r w:rsidDel="00000000" w:rsidR="00000000" w:rsidRPr="00000000">
        <w:rPr>
          <w:rtl w:val="0"/>
        </w:rPr>
        <w:t xml:space="preserve"> N/A</w:t>
      </w:r>
    </w:p>
    <w:p w:rsidR="00000000" w:rsidDel="00000000" w:rsidP="00000000" w:rsidRDefault="00000000" w:rsidRPr="00000000">
      <w:pPr>
        <w:ind w:left="360" w:firstLine="0"/>
        <w:contextualSpacing w:val="0"/>
      </w:pPr>
      <w:r w:rsidDel="00000000" w:rsidR="00000000" w:rsidRPr="00000000">
        <w:rPr>
          <w:i w:val="1"/>
          <w:color w:val="00b0f0"/>
          <w:rtl w:val="0"/>
        </w:rPr>
        <w:t xml:space="preserve">[If this SOP is not intended for FDA regulated clinical trials, check the N/A box]</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Per 21 Code of Federal Regulations Part 312.57: </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rtl w:val="0"/>
        </w:rPr>
        <w:t xml:space="preserve">Record keeping and record retention require that a sponsor shall retain the records and reports required by this part for two years after a marketing application is approved.</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Regulations or Policies</w:t>
        <w:tab/>
        <w:tab/>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project, department, sponsor, institution, state or federal policies that apply]</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DEFINITIONS</w:t>
      </w:r>
    </w:p>
    <w:p w:rsidR="00000000" w:rsidDel="00000000" w:rsidP="00000000" w:rsidRDefault="00000000" w:rsidRPr="00000000">
      <w:pPr>
        <w:widowControl w:val="0"/>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ARCHIVE: To place or store in an archive</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ARCHIVES: The documents or records relating to the activities of an organization; a place where historical records are kept</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ARCHIVIST: A person who has the job of collecting and storing the materials in an archive</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AUDITOR: An individual responsible for the systematic and independent examination of trial-related activities and documents to determine whether the trial-related activities being evaluated were conducted and the data were recorded, analyzed and accurately reported according to the protocol, the sponsor’s standard operating procedures, Good Clinical Practice, and the applicable regulatory requirement(s)</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GOOD CLINICAL PRACTICE: A standard for the design, conduct, performance, monitoring, auditing, recording, analysis, and reporting of clinical trials that provides assurance that the data and reported results are credible and accurate, and that the rights, integrity, and confidentiality of trial subjects are protected</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INDEPENDENT ETHICS COMMITTEE (IEC): An independent body- i.e. a review board or a committee, whether institutional, regional, national, or supranational, constituted of medical professionals and non-medical members that is responsible for ensuring the protection of  the rights, safety, and well-being of human subjects involved in a trial and to provide public assurance of that protection</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INSTITUTIONAL REVIEW BOARD (IRB): An independent body- constituted of medical, scientific, and non-scientific members that is responsible for ensuring the protection of the rights, safety, and well-being of human subjects involved in a trial by, among other things, reviewing, approving, and providing continuing review of trial protocol and amendments and of the methods and material to be used in obtaining and documenting informed consent of the trial subjects</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HUM/IRB NUMBER:  A unique number assigned to project applications through eResearch  </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INTERNATIONAL CONFERENCE ON HARMONISATION (ICH): A joint initiative involving both regulators and research-based industry representatives of the European Union, Japan and the USA in scientific and technical discussions of the testing procedures required to assess and ensure the safety, quality and efficacy of medicines</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MONITOR: An individual who acts as a liaison between the sponsor and the investigator of a clinical study, and who oversees the progress and conduct of the trial; may also be referred to as a Clinical Research Associate (CRA)</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NCT NUMBER:  A unique number called the ClinicalTrials.gov Identifier assigned to every study on ClinicalTrials.gov</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PRINCIPAL INVESTIGATOR (PI): The lead scientist or engineer for a particular well-defined science (or other research) project, such as a laboratory study or clinical trial</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STUDY DOCUMENTATION: All records, in any form (including, but not limited to, written, electronic, magnetic, and optical records; and scans, x-rays, and electrocardiograms) that describe or record the methods, conduct, and/or results of a trial, the factors affecting a trial, and the actions taken</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WORK INSTRUCTIONS: A supporting document containing detailed instructions for performing a task to meet the requirements of the SOP</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“Many of the definitions above were obtained from the IRBMed Glossary. These definitions were current as of 26-Mar-2015 and are subject to change. Please see the </w:t>
      </w:r>
      <w:hyperlink r:id="rId5">
        <w:r w:rsidDel="00000000" w:rsidR="00000000" w:rsidRPr="00000000">
          <w:rPr>
            <w:color w:val="0000ff"/>
            <w:u w:val="single"/>
            <w:rtl w:val="0"/>
          </w:rPr>
          <w:t xml:space="preserve">IRBMed Glossary</w:t>
        </w:r>
      </w:hyperlink>
      <w:r w:rsidDel="00000000" w:rsidR="00000000" w:rsidRPr="00000000">
        <w:rPr>
          <w:rtl w:val="0"/>
        </w:rPr>
        <w:t xml:space="preserve"> for the most current definitions and additional guidance.” </w:t>
      </w:r>
    </w:p>
    <w:p w:rsidR="00000000" w:rsidDel="00000000" w:rsidP="00000000" w:rsidRDefault="00000000" w:rsidRPr="00000000">
      <w:pPr>
        <w:spacing w:after="0" w:line="240" w:lineRule="auto"/>
        <w:ind w:left="288" w:firstLine="0"/>
        <w:contextualSpacing w:val="0"/>
      </w:pPr>
      <w:r w:rsidDel="00000000" w:rsidR="00000000" w:rsidRPr="00000000">
        <w:rPr>
          <w:b w:val="1"/>
          <w:rtl w:val="0"/>
        </w:rPr>
        <w:t xml:space="preserve"> (MANDATORY LANGUAGE)</w:t>
      </w:r>
    </w:p>
    <w:p w:rsidR="00000000" w:rsidDel="00000000" w:rsidP="00000000" w:rsidRDefault="00000000" w:rsidRPr="00000000">
      <w:pPr>
        <w:spacing w:after="0" w:line="240" w:lineRule="auto"/>
        <w:ind w:left="288" w:firstLine="0"/>
        <w:contextualSpacing w:val="0"/>
      </w:pPr>
      <w:bookmarkStart w:colFirst="0" w:colLast="0" w:name="h.gjdgxs" w:id="0"/>
      <w:bookmarkEnd w:id="0"/>
      <w:r w:rsidDel="00000000" w:rsidR="00000000" w:rsidRPr="00000000">
        <w:rPr>
          <w:rtl w:val="0"/>
        </w:rPr>
      </w:r>
    </w:p>
    <w:p w:rsidR="00000000" w:rsidDel="00000000" w:rsidP="00000000" w:rsidRDefault="00000000" w:rsidRPr="00000000">
      <w:pPr>
        <w:spacing w:after="0" w:line="240" w:lineRule="auto"/>
        <w:ind w:left="288" w:firstLine="0"/>
        <w:contextualSpacing w:val="0"/>
      </w:pPr>
      <w:r w:rsidDel="00000000" w:rsidR="00000000" w:rsidRPr="00000000">
        <w:rPr>
          <w:i w:val="1"/>
          <w:color w:val="00b0f0"/>
          <w:rtl w:val="0"/>
        </w:rPr>
        <w:t xml:space="preserve">[Optional: </w:t>
      </w:r>
      <w:r w:rsidDel="00000000" w:rsidR="00000000" w:rsidRPr="00000000">
        <w:rPr>
          <w:rFonts w:ascii="Calibri" w:cs="Calibri" w:eastAsia="Calibri" w:hAnsi="Calibri"/>
          <w:i w:val="1"/>
          <w:color w:val="00b0f0"/>
          <w:rtl w:val="0"/>
        </w:rPr>
        <w:t xml:space="preserve">Insert any additional definitions for technical or special terms used within the Standard Operating Procedure that may not be familiar to the lay reader]</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76"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ROLES AND RESPONSIBILITIES</w:t>
      </w:r>
    </w:p>
    <w:p w:rsidR="00000000" w:rsidDel="00000000" w:rsidP="00000000" w:rsidRDefault="00000000" w:rsidRPr="00000000">
      <w:pPr>
        <w:spacing w:after="0" w:before="0" w:line="276"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Lead Archivist(s)/Designee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An individual filling the role of Lead Archivist is </w:t>
      </w:r>
      <w:r w:rsidDel="00000000" w:rsidR="00000000" w:rsidRPr="00000000">
        <w:rPr>
          <w:i w:val="1"/>
          <w:rtl w:val="0"/>
        </w:rPr>
        <w:t xml:space="preserve">accountable </w:t>
      </w:r>
      <w:r w:rsidDel="00000000" w:rsidR="00000000" w:rsidRPr="00000000">
        <w:rPr>
          <w:rtl w:val="0"/>
        </w:rPr>
        <w:t xml:space="preserve">for the storage, retention and retrieval of archived records. The Lead Archivist or Designee shall be responsible for the following activities: </w:t>
      </w: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Determines record retention requirements (duration) based on applicable government, industry and/or institutional regulations and policies for a specific project</w:t>
      </w:r>
    </w:p>
    <w:p w:rsidR="00000000" w:rsidDel="00000000" w:rsidP="00000000" w:rsidRDefault="00000000" w:rsidRPr="00000000">
      <w:pPr>
        <w:widowControl w:val="0"/>
        <w:numPr>
          <w:ilvl w:val="0"/>
          <w:numId w:val="3"/>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relevant project-specific contractual and/or industry sponsor requirements are included in the archive process</w:t>
      </w:r>
    </w:p>
    <w:p w:rsidR="00000000" w:rsidDel="00000000" w:rsidP="00000000" w:rsidRDefault="00000000" w:rsidRPr="00000000">
      <w:pPr>
        <w:widowControl w:val="0"/>
        <w:numPr>
          <w:ilvl w:val="0"/>
          <w:numId w:val="3"/>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appropriate authorization is obtained prior to the destruction of archived records</w:t>
      </w:r>
    </w:p>
    <w:p w:rsidR="00000000" w:rsidDel="00000000" w:rsidP="00000000" w:rsidRDefault="00000000" w:rsidRPr="00000000">
      <w:pPr>
        <w:widowControl w:val="0"/>
        <w:numPr>
          <w:ilvl w:val="0"/>
          <w:numId w:val="3"/>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Determines the time point at which clinical trial study records will be archived based on project completion</w:t>
      </w:r>
    </w:p>
    <w:p w:rsidR="00000000" w:rsidDel="00000000" w:rsidP="00000000" w:rsidRDefault="00000000" w:rsidRPr="00000000">
      <w:pPr>
        <w:widowControl w:val="0"/>
        <w:numPr>
          <w:ilvl w:val="0"/>
          <w:numId w:val="3"/>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Notifies relevant staff to begin the archive process</w:t>
      </w:r>
    </w:p>
    <w:p w:rsidR="00000000" w:rsidDel="00000000" w:rsidP="00000000" w:rsidRDefault="00000000" w:rsidRPr="00000000">
      <w:pPr>
        <w:widowControl w:val="0"/>
        <w:numPr>
          <w:ilvl w:val="0"/>
          <w:numId w:val="3"/>
        </w:numPr>
        <w:spacing w:after="0" w:before="0" w:line="239"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Notifies relevant staff, including the Principal Investigator, when archive activities have been completed </w:t>
      </w:r>
      <w:r w:rsidDel="00000000" w:rsidR="00000000" w:rsidRPr="00000000">
        <w:rPr>
          <w:rFonts w:ascii="Calibri" w:cs="Calibri" w:eastAsia="Calibri" w:hAnsi="Calibri"/>
          <w:b w:val="1"/>
          <w:sz w:val="22"/>
          <w:szCs w:val="22"/>
          <w:rtl w:val="0"/>
        </w:rPr>
        <w:t xml:space="preserve">(MANDATORY LANGUAGE)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Lead Archivist(s)/Designee</w:t>
      </w:r>
      <w:r w:rsidDel="00000000" w:rsidR="00000000" w:rsidRPr="00000000">
        <w:rPr>
          <w:color w:val="00b0f0"/>
          <w:rtl w:val="0"/>
        </w:rPr>
        <w:t xml:space="preserv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Archivist(s)/ Designee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An individual filling the role of Archivist is </w:t>
      </w:r>
      <w:r w:rsidDel="00000000" w:rsidR="00000000" w:rsidRPr="00000000">
        <w:rPr>
          <w:i w:val="1"/>
          <w:rtl w:val="0"/>
        </w:rPr>
        <w:t xml:space="preserve">responsible</w:t>
      </w:r>
      <w:r w:rsidDel="00000000" w:rsidR="00000000" w:rsidRPr="00000000">
        <w:rPr>
          <w:rtl w:val="0"/>
        </w:rPr>
        <w:t xml:space="preserve"> for the storage, retention and retrieval of archived records. The Archivist or Designee shall be responsible for the following activities: </w:t>
      </w: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Records, tracks and files clinical trial study records based on work instructions</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Monitors and controls access to archived documents</w:t>
      </w:r>
    </w:p>
    <w:p w:rsidR="00000000" w:rsidDel="00000000" w:rsidP="00000000" w:rsidRDefault="00000000" w:rsidRPr="00000000">
      <w:pPr>
        <w:widowControl w:val="0"/>
        <w:spacing w:after="0" w:line="240" w:lineRule="auto"/>
        <w:ind w:left="720" w:right="720" w:firstLine="0"/>
        <w:contextualSpacing w:val="0"/>
      </w:pP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Archivist(s)/Designee]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Principal Investigator/Designee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The Principal Investigator is responsible for oversight and approval of the archive process. The Principal Investigator shall be responsible for the following activities:</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Approves the initiation of the archive process</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Approves the completion of the archive process</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Principal Investigator/Designee]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Roles and Responsibilities</w:t>
      </w:r>
      <w:r w:rsidDel="00000000" w:rsidR="00000000" w:rsidRPr="00000000">
        <w:rPr>
          <w:rtl w:val="0"/>
        </w:rPr>
        <w:tab/>
        <w:tab/>
      </w:r>
      <w:r w:rsidDel="00000000" w:rsidR="00000000" w:rsidRPr="00000000">
        <w:rPr>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role(s) and responsibilities that apply to this SOP]</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76"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w:t>
      </w:r>
    </w:p>
    <w:p w:rsidR="00000000" w:rsidDel="00000000" w:rsidP="00000000" w:rsidRDefault="00000000" w:rsidRPr="00000000">
      <w:pPr>
        <w:spacing w:after="0" w:before="0" w:line="276"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right="720" w:firstLine="360"/>
        <w:contextualSpacing w:val="0"/>
      </w:pPr>
      <w:r w:rsidDel="00000000" w:rsidR="00000000" w:rsidRPr="00000000">
        <w:rPr>
          <w:b w:val="1"/>
          <w:rtl w:val="0"/>
        </w:rPr>
        <w:t xml:space="preserve">Archival Communication Plan</w:t>
      </w:r>
    </w:p>
    <w:p w:rsidR="00000000" w:rsidDel="00000000" w:rsidP="00000000" w:rsidRDefault="00000000" w:rsidRPr="00000000">
      <w:pPr>
        <w:spacing w:after="0" w:line="240" w:lineRule="auto"/>
        <w:ind w:right="720" w:firstLine="36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[Describe the process that is used to confirm a project is ready for archival, how that information is communicated and to whom (e.g. research team, sponsor, IRB, etc.)]</w:t>
      </w:r>
    </w:p>
    <w:p w:rsidR="00000000" w:rsidDel="00000000" w:rsidP="00000000" w:rsidRDefault="00000000" w:rsidRPr="00000000">
      <w:pPr>
        <w:spacing w:after="0" w:line="240" w:lineRule="auto"/>
        <w:ind w:right="720" w:firstLine="360"/>
        <w:contextualSpacing w:val="0"/>
      </w:pPr>
      <w:r w:rsidDel="00000000" w:rsidR="00000000" w:rsidRPr="00000000">
        <w:rPr>
          <w:rtl w:val="0"/>
        </w:rPr>
      </w:r>
    </w:p>
    <w:p w:rsidR="00000000" w:rsidDel="00000000" w:rsidP="00000000" w:rsidRDefault="00000000" w:rsidRPr="00000000">
      <w:pPr>
        <w:spacing w:after="0" w:line="240" w:lineRule="auto"/>
        <w:ind w:right="720" w:firstLine="360"/>
        <w:contextualSpacing w:val="0"/>
      </w:pPr>
      <w:r w:rsidDel="00000000" w:rsidR="00000000" w:rsidRPr="00000000">
        <w:rPr>
          <w:b w:val="1"/>
          <w:rtl w:val="0"/>
        </w:rPr>
        <w:t xml:space="preserve">Archived Record Format(s)</w:t>
      </w:r>
    </w:p>
    <w:p w:rsidR="00000000" w:rsidDel="00000000" w:rsidP="00000000" w:rsidRDefault="00000000" w:rsidRPr="00000000">
      <w:pPr>
        <w:spacing w:after="0" w:line="240" w:lineRule="auto"/>
        <w:ind w:right="720" w:firstLine="36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[Describe the format (paper, electronic, etc.) in which the records will be archived]</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right="720" w:firstLine="360"/>
        <w:contextualSpacing w:val="0"/>
      </w:pPr>
      <w:r w:rsidDel="00000000" w:rsidR="00000000" w:rsidRPr="00000000">
        <w:rPr>
          <w:b w:val="1"/>
          <w:rtl w:val="0"/>
        </w:rPr>
        <w:t xml:space="preserve">Archived Record Naming Conventions</w:t>
      </w:r>
    </w:p>
    <w:p w:rsidR="00000000" w:rsidDel="00000000" w:rsidP="00000000" w:rsidRDefault="00000000" w:rsidRPr="00000000">
      <w:pPr>
        <w:spacing w:after="0" w:line="240" w:lineRule="auto"/>
        <w:ind w:right="720" w:firstLine="36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[Describe document naming and labeling conventions for each archived document type]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right="720" w:firstLine="360"/>
        <w:contextualSpacing w:val="0"/>
      </w:pPr>
      <w:r w:rsidDel="00000000" w:rsidR="00000000" w:rsidRPr="00000000">
        <w:rPr>
          <w:b w:val="1"/>
          <w:rtl w:val="0"/>
        </w:rPr>
        <w:t xml:space="preserve">Archived Record Storage Location(s)</w:t>
      </w:r>
    </w:p>
    <w:p w:rsidR="00000000" w:rsidDel="00000000" w:rsidP="00000000" w:rsidRDefault="00000000" w:rsidRPr="00000000">
      <w:pPr>
        <w:spacing w:after="0" w:line="240" w:lineRule="auto"/>
        <w:ind w:right="720" w:firstLine="36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[Describe the location(s) where archived documentation will be stored (i.e. locked rooms and file cabinets with limited access etc.).  If there is more than one location, indicate which types of documents are stored in which location(s)]</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Archived Record Tracking and Retrieval</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[Describe the process for tracking, retrieving and destroying archived records]</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Procedures</w:t>
      </w:r>
      <w:r w:rsidDel="00000000" w:rsidR="00000000" w:rsidRPr="00000000">
        <w:rPr>
          <w:rtl w:val="0"/>
        </w:rPr>
        <w:tab/>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[Optional: Insert any additional relevant procedures. Provide enough detail to ensure the procedure is consistently carried out, without providing so much detail that violations occur due to normal or expected variations in the work.]</w:t>
      </w:r>
      <w:r w:rsidDel="00000000" w:rsidR="00000000" w:rsidRPr="00000000">
        <w:rPr>
          <w:rtl w:val="0"/>
        </w:rPr>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numPr>
          <w:ilvl w:val="0"/>
          <w:numId w:val="5"/>
        </w:numPr>
        <w:spacing w:after="0" w:before="0" w:line="276"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w:t>
      </w:r>
    </w:p>
    <w:p w:rsidR="00000000" w:rsidDel="00000000" w:rsidP="00000000" w:rsidRDefault="00000000" w:rsidRPr="00000000">
      <w:pPr>
        <w:widowControl w:val="0"/>
        <w:spacing w:after="0" w:before="0" w:line="276"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clinicaltrials.gov NCT Number:</w:t>
      </w:r>
    </w:p>
    <w:p w:rsidR="00000000" w:rsidDel="00000000" w:rsidP="00000000" w:rsidRDefault="00000000" w:rsidRPr="00000000">
      <w:pPr>
        <w:widowControl w:val="0"/>
        <w:spacing w:after="0" w:line="239" w:lineRule="auto"/>
        <w:ind w:left="360" w:right="720" w:firstLine="0"/>
        <w:contextualSpacing w:val="0"/>
      </w:pPr>
      <w:hyperlink r:id="rId6">
        <w:r w:rsidDel="00000000" w:rsidR="00000000" w:rsidRPr="00000000">
          <w:rPr>
            <w:color w:val="0000ff"/>
            <w:u w:val="single"/>
            <w:rtl w:val="0"/>
          </w:rPr>
          <w:t xml:space="preserve">http://www.clinicaltrials.gov/ct2/manage-recs</w:t>
        </w:r>
      </w:hyperlink>
      <w:hyperlink r:id="rId7">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pPr>
      <w:hyperlink r:id="rId8">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Good Clinical Data Management Practices, Society for Clinical Data Management</w:t>
      </w:r>
    </w:p>
    <w:p w:rsidR="00000000" w:rsidDel="00000000" w:rsidP="00000000" w:rsidRDefault="00000000" w:rsidRPr="00000000">
      <w:pPr>
        <w:widowControl w:val="0"/>
        <w:spacing w:after="0" w:line="239" w:lineRule="auto"/>
        <w:ind w:left="360" w:right="720" w:firstLine="0"/>
        <w:contextualSpacing w:val="0"/>
      </w:pPr>
      <w:hyperlink r:id="rId9">
        <w:r w:rsidDel="00000000" w:rsidR="00000000" w:rsidRPr="00000000">
          <w:rPr>
            <w:color w:val="0000ff"/>
            <w:u w:val="single"/>
            <w:rtl w:val="0"/>
          </w:rPr>
          <w:t xml:space="preserve">http://www.scdm.org/</w:t>
        </w:r>
      </w:hyperlink>
      <w:hyperlink r:id="rId10">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pPr>
      <w:hyperlink r:id="rId11">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Good Clinical Practice Guidance Document:</w:t>
      </w:r>
    </w:p>
    <w:p w:rsidR="00000000" w:rsidDel="00000000" w:rsidP="00000000" w:rsidRDefault="00000000" w:rsidRPr="00000000">
      <w:pPr>
        <w:widowControl w:val="0"/>
        <w:spacing w:after="0" w:line="239" w:lineRule="auto"/>
        <w:ind w:left="360" w:right="720" w:firstLine="0"/>
        <w:contextualSpacing w:val="0"/>
      </w:pPr>
      <w:hyperlink r:id="rId12">
        <w:r w:rsidDel="00000000" w:rsidR="00000000" w:rsidRPr="00000000">
          <w:rPr>
            <w:color w:val="0000ff"/>
            <w:u w:val="single"/>
            <w:rtl w:val="0"/>
          </w:rPr>
          <w:t xml:space="preserve">http://www.ich.org/fileadmin/Public_Web_Site/ICH_Products/Guidelines/Efficacy/E6/E6_R1_Guideline.pdf</w:t>
        </w:r>
      </w:hyperlink>
    </w:p>
    <w:p w:rsidR="00000000" w:rsidDel="00000000" w:rsidP="00000000" w:rsidRDefault="00000000" w:rsidRPr="00000000">
      <w:pPr>
        <w:widowControl w:val="0"/>
        <w:spacing w:after="0" w:line="239" w:lineRule="auto"/>
        <w:ind w:right="720"/>
        <w:contextualSpacing w:val="0"/>
      </w:pPr>
      <w:hyperlink r:id="rId13">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International Conference on Harmonisation:</w:t>
      </w:r>
    </w:p>
    <w:p w:rsidR="00000000" w:rsidDel="00000000" w:rsidP="00000000" w:rsidRDefault="00000000" w:rsidRPr="00000000">
      <w:pPr>
        <w:widowControl w:val="0"/>
        <w:spacing w:after="0" w:line="239" w:lineRule="auto"/>
        <w:ind w:left="360" w:right="720" w:firstLine="0"/>
        <w:contextualSpacing w:val="0"/>
      </w:pPr>
      <w:hyperlink r:id="rId14">
        <w:r w:rsidDel="00000000" w:rsidR="00000000" w:rsidRPr="00000000">
          <w:rPr>
            <w:color w:val="0000ff"/>
            <w:u w:val="single"/>
            <w:rtl w:val="0"/>
          </w:rPr>
          <w:t xml:space="preserve">http://www.ich.org/</w:t>
        </w:r>
      </w:hyperlink>
      <w:hyperlink r:id="rId15">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pPr>
      <w:hyperlink r:id="rId16">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University of Michigan IRBMed Record Keeping Guidance:</w:t>
      </w:r>
    </w:p>
    <w:p w:rsidR="00000000" w:rsidDel="00000000" w:rsidP="00000000" w:rsidRDefault="00000000" w:rsidRPr="00000000">
      <w:pPr>
        <w:widowControl w:val="0"/>
        <w:spacing w:after="0" w:line="239" w:lineRule="auto"/>
        <w:ind w:left="360" w:right="720" w:firstLine="0"/>
        <w:contextualSpacing w:val="0"/>
      </w:pPr>
      <w:hyperlink r:id="rId17">
        <w:r w:rsidDel="00000000" w:rsidR="00000000" w:rsidRPr="00000000">
          <w:rPr>
            <w:color w:val="0000ff"/>
            <w:u w:val="single"/>
            <w:rtl w:val="0"/>
          </w:rPr>
          <w:t xml:space="preserve">http://medicine.umich.edu/medschool/research/office-research/institutional-review-boards/guidance/record-keeping-guidelines/</w:t>
        </w:r>
      </w:hyperlink>
      <w:r w:rsidDel="00000000" w:rsidR="00000000" w:rsidRPr="00000000">
        <w:rPr>
          <w:rtl w:val="0"/>
        </w:rPr>
        <w:t xml:space="preserve"> </w:t>
      </w:r>
    </w:p>
    <w:p w:rsidR="00000000" w:rsidDel="00000000" w:rsidP="00000000" w:rsidRDefault="00000000" w:rsidRPr="00000000">
      <w:pPr>
        <w:spacing w:after="0" w:line="240" w:lineRule="auto"/>
        <w:ind w:left="397"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references]</w:t>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numPr>
          <w:ilvl w:val="0"/>
          <w:numId w:val="5"/>
        </w:numPr>
        <w:spacing w:after="0" w:before="0" w:line="276"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APPENDICES</w:t>
      </w:r>
    </w:p>
    <w:p w:rsidR="00000000" w:rsidDel="00000000" w:rsidP="00000000" w:rsidRDefault="00000000" w:rsidRPr="00000000">
      <w:pPr>
        <w:spacing w:after="0" w:before="0" w:line="276" w:lineRule="auto"/>
        <w:ind w:left="360" w:right="720" w:firstLine="0"/>
        <w:contextualSpacing w:val="0"/>
      </w:pPr>
      <w:r w:rsidDel="00000000" w:rsidR="00000000" w:rsidRPr="00000000">
        <w:rPr>
          <w:rtl w:val="0"/>
        </w:rPr>
      </w:r>
    </w:p>
    <w:p w:rsidR="00000000" w:rsidDel="00000000" w:rsidP="00000000" w:rsidRDefault="00000000" w:rsidRPr="00000000">
      <w:pPr>
        <w:spacing w:after="0" w:lineRule="auto"/>
        <w:ind w:left="360" w:right="720" w:firstLine="0"/>
        <w:contextualSpacing w:val="0"/>
      </w:pPr>
      <w:r w:rsidDel="00000000" w:rsidR="00000000" w:rsidRPr="00000000">
        <w:rPr>
          <w:b w:val="1"/>
          <w:rtl w:val="0"/>
        </w:rPr>
        <w:t xml:space="preserve">Appendix A:</w:t>
      </w:r>
      <w:r w:rsidDel="00000000" w:rsidR="00000000" w:rsidRPr="00000000">
        <w:rPr>
          <w:rtl w:val="0"/>
        </w:rPr>
        <w:t xml:space="preserve"> Authorization to Archive Clinical Trial Study Documentation</w:t>
        <w:tab/>
        <w:tab/>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N/A</w:t>
      </w:r>
    </w:p>
    <w:p w:rsidR="00000000" w:rsidDel="00000000" w:rsidP="00000000" w:rsidRDefault="00000000" w:rsidRPr="00000000">
      <w:pPr>
        <w:spacing w:after="0" w:lineRule="auto"/>
        <w:ind w:left="360" w:right="720" w:firstLine="0"/>
        <w:contextualSpacing w:val="0"/>
      </w:pPr>
      <w:r w:rsidDel="00000000" w:rsidR="00000000" w:rsidRPr="00000000">
        <w:rPr>
          <w:b w:val="1"/>
          <w:rtl w:val="0"/>
        </w:rPr>
        <w:t xml:space="preserve">Appendix B:</w:t>
      </w:r>
      <w:r w:rsidDel="00000000" w:rsidR="00000000" w:rsidRPr="00000000">
        <w:rPr>
          <w:rtl w:val="0"/>
        </w:rPr>
        <w:t xml:space="preserve"> Authorization to Destroy Clinical Trial Study Documentation</w:t>
        <w:tab/>
        <w:tab/>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N/A</w:t>
      </w:r>
    </w:p>
    <w:p w:rsidR="00000000" w:rsidDel="00000000" w:rsidP="00000000" w:rsidRDefault="00000000" w:rsidRPr="00000000">
      <w:pPr>
        <w:spacing w:after="0" w:line="240" w:lineRule="auto"/>
        <w:ind w:left="397" w:right="720" w:firstLine="0"/>
        <w:contextualSpacing w:val="0"/>
      </w:pPr>
      <w:r w:rsidDel="00000000" w:rsidR="00000000" w:rsidRPr="00000000">
        <w:rPr>
          <w:b w:val="1"/>
          <w:rtl w:val="0"/>
        </w:rPr>
        <w:t xml:space="preserve">(MANDATORY LANGUAGE)</w:t>
      </w:r>
    </w:p>
    <w:p w:rsidR="00000000" w:rsidDel="00000000" w:rsidP="00000000" w:rsidRDefault="00000000" w:rsidRPr="00000000">
      <w:pPr>
        <w:spacing w:after="0" w:line="240" w:lineRule="auto"/>
        <w:ind w:left="397"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appendices]</w:t>
      </w:r>
    </w:p>
    <w:sectPr>
      <w:headerReference r:id="rId18" w:type="default"/>
      <w:footerReference r:id="rId19"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MS Gothic"/>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tbl>
    <w:tblPr>
      <w:tblStyle w:val="Table2"/>
      <w:bidi w:val="0"/>
      <w:tblW w:w="9576.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808"/>
      <w:gridCol w:w="360"/>
      <w:gridCol w:w="4050"/>
      <w:gridCol w:w="360"/>
      <w:gridCol w:w="1998"/>
      <w:tblGridChange w:id="0">
        <w:tblGrid>
          <w:gridCol w:w="2808"/>
          <w:gridCol w:w="360"/>
          <w:gridCol w:w="4050"/>
          <w:gridCol w:w="360"/>
          <w:gridCol w:w="1998"/>
        </w:tblGrid>
      </w:tblGridChange>
    </w:tblGrid>
    <w:tr>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r>
    <w:tr>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Name    </w:t>
          </w:r>
          <w:r w:rsidDel="00000000" w:rsidR="00000000" w:rsidRPr="00000000">
            <w:rPr>
              <w:rFonts w:ascii="Calibri" w:cs="Calibri" w:eastAsia="Calibri" w:hAnsi="Calibri"/>
              <w:b w:val="0"/>
              <w:sz w:val="16"/>
              <w:szCs w:val="16"/>
              <w:rtl w:val="0"/>
            </w:rPr>
            <w:t xml:space="preserve">(please print)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Signature           </w:t>
          </w:r>
          <w:r w:rsidDel="00000000" w:rsidR="00000000" w:rsidRPr="00000000">
            <w:rPr>
              <w:rFonts w:ascii="Calibri" w:cs="Calibri" w:eastAsia="Calibri" w:hAnsi="Calibri"/>
              <w:b w:val="0"/>
              <w:sz w:val="16"/>
              <w:szCs w:val="16"/>
              <w:rtl w:val="0"/>
            </w:rPr>
            <w:t xml:space="preserve">(Required page 1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Effective Date</w:t>
          </w:r>
        </w:p>
      </w:tc>
    </w:tr>
  </w:tbl>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Fonts w:ascii="Calibri" w:cs="Calibri" w:eastAsia="Calibri" w:hAnsi="Calibri"/>
        <w:b w:val="0"/>
        <w:sz w:val="22"/>
        <w:szCs w:val="22"/>
        <w:rtl w:val="0"/>
      </w:rPr>
      <w:t xml:space="preserve">Page </w:t>
    </w:r>
    <w:fldSimple w:instr="PAGE" w:fldLock="0" w:dirty="0">
      <w:r w:rsidDel="00000000" w:rsidR="00000000" w:rsidRPr="00000000">
        <w:rPr>
          <w:rFonts w:ascii="Calibri" w:cs="Calibri" w:eastAsia="Calibri" w:hAnsi="Calibri"/>
          <w:b w:val="0"/>
          <w:sz w:val="22"/>
          <w:szCs w:val="22"/>
        </w:rPr>
      </w:r>
    </w:fldSimple>
    <w:r w:rsidDel="00000000" w:rsidR="00000000" w:rsidRPr="00000000">
      <w:rPr>
        <w:rFonts w:ascii="Calibri" w:cs="Calibri" w:eastAsia="Calibri" w:hAnsi="Calibri"/>
        <w:b w:val="0"/>
        <w:sz w:val="22"/>
        <w:szCs w:val="22"/>
        <w:rtl w:val="0"/>
      </w:rPr>
      <w:t xml:space="preserve"> of </w:t>
    </w:r>
    <w:fldSimple w:instr="NUMPAGES"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915"/>
      <w:gridCol w:w="3593"/>
      <w:gridCol w:w="1710"/>
      <w:gridCol w:w="2358"/>
      <w:tblGridChange w:id="0">
        <w:tblGrid>
          <w:gridCol w:w="1915"/>
          <w:gridCol w:w="3593"/>
          <w:gridCol w:w="1710"/>
          <w:gridCol w:w="2358"/>
        </w:tblGrid>
      </w:tblGridChange>
    </w:tblGrid>
    <w:tr>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ORGANIZATION:</w:t>
          </w:r>
        </w:p>
      </w:tc>
      <w:tc>
        <w:tcPr>
          <w:gridSpan w:val="3"/>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name of the Organization, Department or Project which owns the SOP]</w:t>
          </w:r>
        </w:p>
      </w:tc>
    </w:tr>
    <w:tr>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SOP TITLE:</w:t>
          </w:r>
        </w:p>
        <w:p w:rsidR="00000000" w:rsidDel="00000000" w:rsidP="00000000" w:rsidRDefault="00000000" w:rsidRPr="00000000">
          <w:pPr>
            <w:tabs>
              <w:tab w:val="center" w:pos="4680"/>
              <w:tab w:val="right" w:pos="9360"/>
            </w:tabs>
            <w:contextualSpacing w:val="0"/>
          </w:pPr>
          <w:r w:rsidDel="00000000" w:rsidR="00000000" w:rsidRPr="00000000">
            <w:rPr>
              <w:rtl w:val="0"/>
            </w:rPr>
          </w:r>
        </w:p>
      </w:tc>
      <w:tc>
        <w:tcPr>
          <w:gridSpan w:val="3"/>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Archiving Clinical Trial Study Documentation</w:t>
          </w:r>
          <w:r w:rsidDel="00000000" w:rsidR="00000000" w:rsidRPr="00000000">
            <w:rPr>
              <w:rtl w:val="0"/>
            </w:rPr>
          </w:r>
        </w:p>
      </w:tc>
    </w:tr>
    <w:tr>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SOP ID:</w:t>
          </w:r>
        </w:p>
      </w:tc>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SOP identifier]</w:t>
          </w:r>
        </w:p>
      </w:tc>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SOP VERSION:</w:t>
          </w:r>
        </w:p>
      </w:tc>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SOP version]</w:t>
          </w:r>
        </w:p>
      </w:tc>
    </w:tr>
  </w:tbl>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4">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5">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scdm.org/" TargetMode="External"/><Relationship Id="rId10" Type="http://schemas.openxmlformats.org/officeDocument/2006/relationships/hyperlink" Target="http://www.scdm.org/" TargetMode="External"/><Relationship Id="rId13" Type="http://schemas.openxmlformats.org/officeDocument/2006/relationships/hyperlink" Target="http://www.ich.org/fileadmin/Public_Web_Site/ICH_Products/Guidelines/Efficacy/E6/E6_R1_Guideline.pdf" TargetMode="External"/><Relationship Id="rId12" Type="http://schemas.openxmlformats.org/officeDocument/2006/relationships/hyperlink" Target="http://www.ich.org/fileadmin/Public_Web_Site/ICH_Products/Guidelines/Efficacy/E6/E6_R1_Guideline.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scdm.org/" TargetMode="External"/><Relationship Id="rId15" Type="http://schemas.openxmlformats.org/officeDocument/2006/relationships/hyperlink" Target="http://www.ich.org/" TargetMode="External"/><Relationship Id="rId14" Type="http://schemas.openxmlformats.org/officeDocument/2006/relationships/hyperlink" Target="http://www.ich.org/" TargetMode="External"/><Relationship Id="rId17" Type="http://schemas.openxmlformats.org/officeDocument/2006/relationships/hyperlink" Target="http://medicine.umich.edu/medschool/research/office-research/institutional-review-boards/guidance/record-keeping-guidelines/" TargetMode="External"/><Relationship Id="rId16" Type="http://schemas.openxmlformats.org/officeDocument/2006/relationships/hyperlink" Target="http://www.ich.org/" TargetMode="External"/><Relationship Id="rId5" Type="http://schemas.openxmlformats.org/officeDocument/2006/relationships/hyperlink" Target="http://medicine.umich.edu/medschool/research/office-research/institutional-review-boards/guidance/glossary" TargetMode="External"/><Relationship Id="rId19" Type="http://schemas.openxmlformats.org/officeDocument/2006/relationships/footer" Target="footer1.xml"/><Relationship Id="rId6" Type="http://schemas.openxmlformats.org/officeDocument/2006/relationships/hyperlink" Target="http://www.clinicaltrials.gov/ct2/manage-recs" TargetMode="External"/><Relationship Id="rId18" Type="http://schemas.openxmlformats.org/officeDocument/2006/relationships/header" Target="header1.xml"/><Relationship Id="rId7" Type="http://schemas.openxmlformats.org/officeDocument/2006/relationships/hyperlink" Target="http://www.clinicaltrials.gov/ct2/manage-recs" TargetMode="External"/><Relationship Id="rId8" Type="http://schemas.openxmlformats.org/officeDocument/2006/relationships/hyperlink" Target="http://www.clinicaltrials.gov/ct2/manage-recs" TargetMode="External"/></Relationships>
</file>