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STANDARD OPERATING PROCEDURE DETAILS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8"/>
        <w:gridCol w:w="7668"/>
        <w:tblGridChange w:id="0">
          <w:tblGrid>
            <w:gridCol w:w="1908"/>
            <w:gridCol w:w="76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SOP Version History Log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SOP TITLE: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b0f0"/>
                <w:rtl w:val="0"/>
              </w:rPr>
              <w:t xml:space="preserve">[Insert the name of the Standard Operating Procedure to which the version history log applies]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SOP ID: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b0f0"/>
                <w:rtl w:val="0"/>
              </w:rPr>
              <w:t xml:space="preserve">[Insert the SOP Identifier]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STANDARD OPERATING PROCEDURE MODIFICATION(S)</w:t>
      </w:r>
    </w:p>
    <w:tbl>
      <w:tblPr>
        <w:tblStyle w:val="Table2"/>
        <w:bidi w:val="0"/>
        <w:tblW w:w="95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0"/>
        <w:gridCol w:w="1948"/>
        <w:gridCol w:w="2250"/>
        <w:gridCol w:w="4230"/>
        <w:tblGridChange w:id="0">
          <w:tblGrid>
            <w:gridCol w:w="1130"/>
            <w:gridCol w:w="1948"/>
            <w:gridCol w:w="2250"/>
            <w:gridCol w:w="4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SOP Version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Implementation, Revision or Retirement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 Modification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(Change and Reason)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E:  SOP Version History Log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Development, Implementation, and Maintenance of Standard Operating Procedures (SOPs)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