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20"/>
        <w:contextualSpacing w:val="0"/>
      </w:pPr>
      <w:r w:rsidDel="00000000" w:rsidR="00000000" w:rsidRPr="00000000">
        <w:rPr>
          <w:rFonts w:ascii="Calibri" w:cs="Calibri" w:eastAsia="Calibri" w:hAnsi="Calibri"/>
          <w:b w:val="1"/>
          <w:i w:val="1"/>
          <w:sz w:val="28"/>
          <w:szCs w:val="28"/>
          <w:rtl w:val="0"/>
        </w:rPr>
        <w:t xml:space="preserve">Management and Reporting of Adverse Events, </w:t>
      </w:r>
      <w:r w:rsidDel="00000000" w:rsidR="00000000" w:rsidRPr="00000000">
        <w:rPr>
          <w:b w:val="1"/>
          <w:i w:val="1"/>
          <w:sz w:val="28"/>
          <w:szCs w:val="28"/>
          <w:rtl w:val="0"/>
        </w:rPr>
        <w:t xml:space="preserve">Serious Adverse Events, Unanticipated Adverse Device Effects, and Unanticipated Problems</w:t>
      </w:r>
    </w:p>
    <w:p w:rsidR="00000000" w:rsidDel="00000000" w:rsidP="00000000" w:rsidRDefault="00000000" w:rsidRPr="00000000">
      <w:pPr>
        <w:spacing w:after="0" w:line="240" w:lineRule="auto"/>
        <w:ind w:right="-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before="0" w:line="240" w:lineRule="auto"/>
        <w:ind w:left="72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1020" w:firstLine="0"/>
        <w:contextualSpacing w:val="0"/>
      </w:pPr>
      <w:r w:rsidDel="00000000" w:rsidR="00000000" w:rsidRPr="00000000">
        <w:rPr>
          <w:rFonts w:ascii="Calibri" w:cs="Calibri" w:eastAsia="Calibri" w:hAnsi="Calibri"/>
          <w:rtl w:val="0"/>
        </w:rPr>
        <w:t xml:space="preserve">This Standard Operating Procedure (SOP) describes the procedures, processes, and responsibilities for identifying, assessing, recording and reporting Adverse Events (AEs) (Adverse Reactions and Adverse Experiences), Serious Adverse Events (SAEs), Unanticipated Adverse Device Effects (UADEs), and Unanticipated Problems (UaPs). </w:t>
      </w:r>
    </w:p>
    <w:p w:rsidR="00000000" w:rsidDel="00000000" w:rsidP="00000000" w:rsidRDefault="00000000" w:rsidRPr="00000000">
      <w:pPr>
        <w:spacing w:after="0" w:line="240" w:lineRule="auto"/>
        <w:ind w:left="367"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0" w:line="240" w:lineRule="auto"/>
        <w:ind w:left="360" w:right="10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7" w:right="936" w:firstLine="0"/>
        <w:contextualSpacing w:val="0"/>
      </w:pPr>
      <w:r w:rsidDel="00000000" w:rsidR="00000000" w:rsidRPr="00000000">
        <w:rPr>
          <w:rtl w:val="0"/>
        </w:rPr>
        <w:t xml:space="preserve">This Standard Operating Procedure applies to all clinical trial staff, including the Principal Investigator (PI), Co-Investigator(s) (Co-I), Study Coordinator(s), and other research professionals that may be involved in the identification, management and reporting of AEs, SAEs, UADEs and UaPs. (</w:t>
      </w:r>
      <w:r w:rsidDel="00000000" w:rsidR="00000000" w:rsidRPr="00000000">
        <w:rPr>
          <w:b w:val="1"/>
          <w:rtl w:val="0"/>
        </w:rPr>
        <w:t xml:space="preserve">MANDATORY LANGUAGE</w:t>
      </w:r>
      <w:r w:rsidDel="00000000" w:rsidR="00000000" w:rsidRPr="00000000">
        <w:rPr>
          <w:rtl w:val="0"/>
        </w:rPr>
        <w:t xml:space="preserve">)</w:t>
      </w:r>
    </w:p>
    <w:p w:rsidR="00000000" w:rsidDel="00000000" w:rsidP="00000000" w:rsidRDefault="00000000" w:rsidRPr="00000000">
      <w:pPr>
        <w:spacing w:after="0" w:line="240" w:lineRule="auto"/>
        <w:ind w:left="367" w:right="936"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spacing w:after="0" w:before="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This Standard Operating Procedure supports the Good Clinical Practices (GCP) guidelines established by the International Conference on Harmonization (ICH), Section 4.11.2:</w:t>
      </w:r>
    </w:p>
    <w:p w:rsidR="00000000" w:rsidDel="00000000" w:rsidP="00000000" w:rsidRDefault="00000000" w:rsidRPr="00000000">
      <w:pPr>
        <w:spacing w:after="0" w:line="240" w:lineRule="auto"/>
        <w:ind w:left="360" w:right="-20" w:firstLine="0"/>
        <w:contextualSpacing w:val="0"/>
      </w:pPr>
      <w:r w:rsidDel="00000000" w:rsidR="00000000" w:rsidRPr="00000000">
        <w:rPr>
          <w:i w:val="1"/>
          <w:rtl w:val="0"/>
        </w:rPr>
        <w:t xml:space="preserve">Adverse events and/or laboratory abnormalities identified in the protocol as critical to safety evaluations should be reported to the sponsor according to the reporting requirements and within the time periods specified by the sponsor in the protocol. </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In addition, ICH Section 4.11.1 provides guidance on Serious Adverse Events (SAE) and states that: </w:t>
      </w:r>
      <w:r w:rsidDel="00000000" w:rsidR="00000000" w:rsidRPr="00000000">
        <w:rPr>
          <w:i w:val="1"/>
          <w:rtl w:val="0"/>
        </w:rPr>
        <w:t xml:space="preserve">all SAEs should be reported immediately to the sponsor, except for those SAEs that the protocol or other document identifies as not needing immediate reporting. </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line="240" w:lineRule="auto"/>
        <w:ind w:left="360" w:right="-20" w:firstLine="0"/>
        <w:contextualSpacing w:val="0"/>
      </w:pPr>
      <w:r w:rsidDel="00000000" w:rsidR="00000000" w:rsidRPr="00000000">
        <w:rPr>
          <w:rtl w:val="0"/>
        </w:rPr>
        <w:t xml:space="preserve">FDA Regulation</w:t>
        <w:tab/>
        <w:tab/>
        <w:tab/>
        <w:tab/>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ind w:left="360" w:firstLine="0"/>
        <w:contextualSpacing w:val="0"/>
      </w:pPr>
      <w:r w:rsidDel="00000000" w:rsidR="00000000" w:rsidRPr="00000000">
        <w:rPr>
          <w:i w:val="1"/>
          <w:color w:val="00b0f0"/>
          <w:rtl w:val="0"/>
        </w:rPr>
        <w:t xml:space="preserve">[If this SOP is not intended for FDA regulated clinical trials, check the N/A box]</w:t>
      </w:r>
    </w:p>
    <w:p w:rsidR="00000000" w:rsidDel="00000000" w:rsidP="00000000" w:rsidRDefault="00000000" w:rsidRPr="00000000">
      <w:pPr>
        <w:spacing w:after="0" w:line="240" w:lineRule="auto"/>
        <w:ind w:left="360" w:right="-20" w:firstLine="0"/>
        <w:contextualSpacing w:val="0"/>
      </w:pPr>
      <w:r w:rsidDel="00000000" w:rsidR="00000000" w:rsidRPr="00000000">
        <w:rPr>
          <w:sz w:val="23"/>
          <w:szCs w:val="23"/>
          <w:rtl w:val="0"/>
        </w:rPr>
        <w:t xml:space="preserve">Per code 21 Code of Federal Regulations Part 312.32: </w:t>
      </w:r>
    </w:p>
    <w:p w:rsidR="00000000" w:rsidDel="00000000" w:rsidP="00000000" w:rsidRDefault="00000000" w:rsidRPr="00000000">
      <w:pPr>
        <w:spacing w:after="0" w:line="240" w:lineRule="auto"/>
        <w:ind w:left="360" w:right="-20" w:firstLine="0"/>
        <w:contextualSpacing w:val="0"/>
      </w:pPr>
      <w:r w:rsidDel="00000000" w:rsidR="00000000" w:rsidRPr="00000000">
        <w:rPr>
          <w:i w:val="1"/>
          <w:rtl w:val="0"/>
        </w:rPr>
        <w:t xml:space="preserve">The sponsor must notify FDA and all participating investigators in an IND safety report of potential serious risks, from clinical trials or any other source, as soon as possible, but in no case later than 15 </w:t>
      </w:r>
    </w:p>
    <w:p w:rsidR="00000000" w:rsidDel="00000000" w:rsidP="00000000" w:rsidRDefault="00000000" w:rsidRPr="00000000">
      <w:pPr>
        <w:spacing w:after="0" w:line="240" w:lineRule="auto"/>
        <w:ind w:left="360" w:right="-20" w:firstLine="0"/>
        <w:contextualSpacing w:val="0"/>
      </w:pPr>
      <w:r w:rsidDel="00000000" w:rsidR="00000000" w:rsidRPr="00000000">
        <w:rPr>
          <w:i w:val="1"/>
          <w:rtl w:val="0"/>
        </w:rPr>
        <w:t xml:space="preserve">calendar days after the sponsor determines that the information qualifies for reporting under paragraph (c)(1)(i), (c)(1)(ii), (c)(1)(iii), or (c)(1)(iv) of this section.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Additionally, 312.32 (2) states that the sponsor must also notify FDA of any unexpected fatal or life-threatening suspected adverse reaction as soon as possible, but in no case later than 7 calendar days after the sponsor’s initial receipt of the information. </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Furthermore, 312.53(c)(1)(vi(e)) indicates that a commitment by the investigator is required that he/she </w:t>
      </w:r>
      <w:r w:rsidDel="00000000" w:rsidR="00000000" w:rsidRPr="00000000">
        <w:rPr>
          <w:i w:val="1"/>
          <w:rtl w:val="0"/>
        </w:rPr>
        <w:t xml:space="preserve">will report to the sponsor adverse experiences that occur in the course of the investigation(s), in accordance with 312.64 (Investigator reports).</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Similarly, IDE regulation 812.150(a)(1) indicates: </w:t>
      </w:r>
      <w:r w:rsidDel="00000000" w:rsidR="00000000" w:rsidRPr="00000000">
        <w:rPr>
          <w:i w:val="1"/>
          <w:rtl w:val="0"/>
        </w:rPr>
        <w:t xml:space="preserve">an investigator shall submit to the sponsor and to the reviewing IRB a report of any unanticipated adverse device effect occurring during an investigation as soon as possible, but in no event later than 10 working days after the investigator first learns of the effect. </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21 CFR 812.150(7)(1) provides additional guidance regarding reporting of unanticipated adverse device effects.</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Fonts w:ascii="Calibri" w:cs="Calibri" w:eastAsia="Calibri" w:hAnsi="Calibri"/>
          <w:rtl w:val="0"/>
        </w:rPr>
        <w:t xml:space="preserve">University of Michigan Institutional Review Board (IRB)</w:t>
      </w:r>
      <w:r w:rsidDel="00000000" w:rsidR="00000000" w:rsidRPr="00000000">
        <w:rPr>
          <w:rtl w:val="0"/>
        </w:rPr>
      </w:r>
    </w:p>
    <w:p w:rsidR="00000000" w:rsidDel="00000000" w:rsidP="00000000" w:rsidRDefault="00000000" w:rsidRPr="00000000">
      <w:pPr>
        <w:widowControl w:val="0"/>
        <w:spacing w:after="0" w:line="239" w:lineRule="auto"/>
        <w:ind w:right="72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color w:val="333333"/>
          <w:rtl w:val="0"/>
        </w:rPr>
        <w:t xml:space="preserve">According to the University of Michigan Institutional Review Board (IRB), </w:t>
      </w:r>
      <w:r w:rsidDel="00000000" w:rsidR="00000000" w:rsidRPr="00000000">
        <w:rPr>
          <w:i w:val="1"/>
          <w:color w:val="000000"/>
          <w:rtl w:val="0"/>
        </w:rPr>
        <w:t xml:space="preserve">It is a federal and university requirement that investigators of all human subjects research (whether FDA-regulated or not) report to the IRB any ‘unanticipated problems involving risks to the subjects or others' (hereafter referred to as ‘unanticipated problems’).</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color w:val="000000"/>
          <w:rtl w:val="0"/>
        </w:rPr>
        <w:t xml:space="preserve">In addition, the IRB requires clinical research teams to follow the IRBMED Standard AE Reporting Guidelines or the clinical research team’s own approved study-specific reporting guidelines for reporting internal AEs to the IRB. The reporting obligations for external AEs to the IRB are different from these and the IRBMED has unique reporting guidance for these as well.</w:t>
      </w:r>
    </w:p>
    <w:p w:rsidR="00000000" w:rsidDel="00000000" w:rsidP="00000000" w:rsidRDefault="00000000" w:rsidRPr="00000000">
      <w:pPr>
        <w:widowControl w:val="0"/>
        <w:spacing w:after="0" w:line="239" w:lineRule="auto"/>
        <w:ind w:right="72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Regulations or Policies</w:t>
        <w:tab/>
        <w:tab/>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DEFINITIONS</w:t>
      </w:r>
    </w:p>
    <w:p w:rsidR="00000000" w:rsidDel="00000000" w:rsidP="00000000" w:rsidRDefault="00000000" w:rsidRPr="00000000">
      <w:pPr>
        <w:spacing w:after="0" w:before="0" w:line="240" w:lineRule="auto"/>
        <w:ind w:left="72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ADVERSE EVENT (AE): </w:t>
      </w:r>
      <w:r w:rsidDel="00000000" w:rsidR="00000000" w:rsidRPr="00000000">
        <w:rPr>
          <w:color w:val="333333"/>
          <w:rtl w:val="0"/>
        </w:rPr>
        <w:t xml:space="preserve">Any experience or abnormal finding that has taken place during the course of a research project and was harmful to the subject participating in the research, or increased the risks of harm from the research, or had an unfavorable impact on the risk/benefit ratio. The event may or may not be caused by an intervention (e.g., headache following spinal tap, death from the underlying disease, car collision). Adverse Events also include psychological, social, emotional, and financial harms.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CO-INVESTIGATOR (Co-I): </w:t>
      </w:r>
      <w:r w:rsidDel="00000000" w:rsidR="00000000" w:rsidRPr="00000000">
        <w:rPr>
          <w:color w:val="333333"/>
          <w:rtl w:val="0"/>
        </w:rPr>
        <w:t xml:space="preserve">Any individual member of the clinical trial team designated and supervised by the principal investigator at a trial site to perform critical trial-related procedures and/or to make important trial-related decisions.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DATA SAFETY MONITORING BOARD (DSMB)</w:t>
      </w:r>
      <w:r w:rsidDel="00000000" w:rsidR="00000000" w:rsidRPr="00000000">
        <w:rPr>
          <w:color w:val="333333"/>
          <w:rtl w:val="0"/>
        </w:rPr>
        <w:t xml:space="preserve">: An appointed independent group consisting of at least three (3) members assigned to conduct interim monitoring of accumulating data from research activities to assure the continuing safety of research participants, relevance of the study question, appropriateness of the study, and integrity of the accumulating data.</w:t>
      </w:r>
      <w:r w:rsidDel="00000000" w:rsidR="00000000" w:rsidRPr="00000000">
        <w:rPr>
          <w:rFonts w:ascii="Helvetica Neue" w:cs="Helvetica Neue" w:eastAsia="Helvetica Neue" w:hAnsi="Helvetica Neue"/>
          <w:color w:val="333333"/>
          <w:rtl w:val="0"/>
        </w:rPr>
        <w:t xml:space="preserve"> </w:t>
      </w:r>
      <w:r w:rsidDel="00000000" w:rsidR="00000000" w:rsidRPr="00000000">
        <w:rPr>
          <w:color w:val="333333"/>
          <w:rtl w:val="0"/>
        </w:rPr>
        <w:t xml:space="preserve">Membership should include expertise in the relevant field of study, statistics, and research study design.</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EXPECTED EVENT</w:t>
      </w:r>
      <w:r w:rsidDel="00000000" w:rsidR="00000000" w:rsidRPr="00000000">
        <w:rPr>
          <w:b w:val="1"/>
          <w:rtl w:val="0"/>
        </w:rPr>
        <w:t xml:space="preserve">:</w:t>
      </w:r>
      <w:r w:rsidDel="00000000" w:rsidR="00000000" w:rsidRPr="00000000">
        <w:rPr>
          <w:rtl w:val="0"/>
        </w:rPr>
        <w:t xml:space="preserve"> </w:t>
      </w:r>
      <w:r w:rsidDel="00000000" w:rsidR="00000000" w:rsidRPr="00000000">
        <w:rPr>
          <w:color w:val="333333"/>
          <w:rtl w:val="0"/>
        </w:rPr>
        <w:t xml:space="preserve">An event that is expected in that it has been addressed or described in one or more of the following: Informed consent document(s) for this study, IRB application for this study, grant application or study agreement, protocol or procedures for this study, investigators' brochure or equivalent (for FDA regulated drugs or devices), DSMB Reports, published literature, other documentation, or characteristics of the study population.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INSTITUTIONAL REVIEW BOARD (IRB): An independent body- constituted of medical, scientific, and non-scientific members that is responsible for ensuring the protection of the rights, safety, and well-being of human subjects involved in a trial by, among other things, reviewing, approving, and providing continuing review of trial protocol and amendments and of the methods and material to be used in obtaining and documenting informed consent of the trial subjects.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INVESTIGATIONAL DEVICE EXEMPTION (IDE): An investigational device is a device, including a transitional device, that is the object of an investigation. </w:t>
      </w:r>
      <w:r w:rsidDel="00000000" w:rsidR="00000000" w:rsidRPr="00000000">
        <w:rPr>
          <w:rFonts w:ascii="Calibri" w:cs="Calibri" w:eastAsia="Calibri" w:hAnsi="Calibri"/>
          <w:b w:val="0"/>
          <w:color w:val="333333"/>
          <w:sz w:val="22"/>
          <w:szCs w:val="22"/>
          <w:rtl w:val="0"/>
        </w:rPr>
        <w:t xml:space="preserve">Approval by FDA for investigational device exemption (IDE) permits a device that otherwise would be required to comply with a performance standard or to have premarket approval to be shipped lawfully across state and international boundaries for the purpose of conducting investigations of that device.</w:t>
      </w:r>
    </w:p>
    <w:p w:rsidR="00000000" w:rsidDel="00000000" w:rsidP="00000000" w:rsidRDefault="00000000" w:rsidRPr="00000000">
      <w:pPr>
        <w:spacing w:after="0" w:line="240" w:lineRule="auto"/>
        <w:ind w:left="360" w:firstLine="0"/>
        <w:contextualSpacing w:val="0"/>
      </w:pPr>
      <w:r w:rsidDel="00000000" w:rsidR="00000000" w:rsidRPr="00000000">
        <w:rPr>
          <w:color w:val="333333"/>
          <w:rtl w:val="0"/>
        </w:rPr>
        <w:t xml:space="preserve">INVESTIGATIONAL NEW DRUG APPLICATION (IND): An Investigational New Drug Application (IND) is a request for authorization from the Food and Drug Administration (FDA) to administer an investigational drug or biological product to humans. Such authorization must be secured prior to interstate shipment and administration of any new drug or biological product that is not the subject of an approved New Drug Application or Biologics/Product License Application.</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color w:val="333333"/>
          <w:rtl w:val="0"/>
        </w:rPr>
        <w:t xml:space="preserve">LIFE-THREATENING ADVERSE EVENT: An adverse event is considered “life-threatening” if, in the view of either the investigator or sponsor, its occurrence places the patients or subject at immediate risk of death. It does not include an adverse event that, had it occurred in a more severe form, might have caused death.</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0"/>
          <w:rtl w:val="0"/>
        </w:rPr>
        <w:t xml:space="preserve">MEDWATCH FORM 3500A: </w:t>
      </w:r>
      <w:r w:rsidDel="00000000" w:rsidR="00000000" w:rsidRPr="00000000">
        <w:rPr>
          <w:i w:val="0"/>
          <w:color w:val="333333"/>
          <w:rtl w:val="0"/>
        </w:rPr>
        <w:t xml:space="preserve">FDA Form for clinically important safety information and reporting serious problems with human medical products</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tabs>
          <w:tab w:val="left" w:pos="3870"/>
        </w:tabs>
        <w:spacing w:after="0" w:line="240" w:lineRule="auto"/>
        <w:ind w:left="360" w:firstLine="0"/>
        <w:contextualSpacing w:val="0"/>
      </w:pPr>
      <w:r w:rsidDel="00000000" w:rsidR="00000000" w:rsidRPr="00000000">
        <w:rPr>
          <w:rFonts w:ascii="Calibri" w:cs="Calibri" w:eastAsia="Calibri" w:hAnsi="Calibri"/>
          <w:rtl w:val="0"/>
        </w:rPr>
        <w:t xml:space="preserve">RELATED ADVERSE EVENT: An Adverse Event believed to be caused by a procedure, drug, biologic or device used in the clinical trial</w:t>
      </w:r>
    </w:p>
    <w:p w:rsidR="00000000" w:rsidDel="00000000" w:rsidP="00000000" w:rsidRDefault="00000000" w:rsidRPr="00000000">
      <w:pPr>
        <w:tabs>
          <w:tab w:val="left" w:pos="3870"/>
        </w:tabs>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color w:val="000000"/>
          <w:sz w:val="22"/>
          <w:szCs w:val="22"/>
          <w:rtl w:val="0"/>
        </w:rPr>
        <w:t xml:space="preserve">SERIOUS ADVERSE EVENT (SAE): Any adverse experience occurring at any dose or level of participation that results in any of the following outcomes: death, a life-threatening experience, hospitalization or prolongation of existing hospitalization, a persistent or significant disability or capacity, or a congenital anomaly or birth defect. </w:t>
      </w: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360" w:firstLine="0"/>
        <w:contextualSpacing w:val="0"/>
      </w:pPr>
      <w:r w:rsidDel="00000000" w:rsidR="00000000" w:rsidRPr="00000000">
        <w:rPr>
          <w:rFonts w:ascii="Calibri" w:cs="Calibri" w:eastAsia="Calibri" w:hAnsi="Calibri"/>
          <w:b w:val="0"/>
          <w:sz w:val="22"/>
          <w:szCs w:val="22"/>
          <w:rtl w:val="0"/>
        </w:rPr>
        <w:t xml:space="preserve">SEVERITY OF AE: </w:t>
      </w:r>
      <w:r w:rsidDel="00000000" w:rsidR="00000000" w:rsidRPr="00000000">
        <w:rPr>
          <w:rFonts w:ascii="Calibri" w:cs="Calibri" w:eastAsia="Calibri" w:hAnsi="Calibri"/>
          <w:b w:val="0"/>
          <w:color w:val="333333"/>
          <w:sz w:val="22"/>
          <w:szCs w:val="22"/>
          <w:rtl w:val="0"/>
        </w:rPr>
        <w:t xml:space="preserve">An assessment regarding the intensity of an Adverse Event (rating the event mild, moderately severe, severe, life threatening or fatal). </w:t>
      </w:r>
      <w:r w:rsidDel="00000000" w:rsidR="00000000" w:rsidRPr="00000000">
        <w:rPr>
          <w:rFonts w:ascii="Calibri" w:cs="Calibri" w:eastAsia="Calibri" w:hAnsi="Calibri"/>
          <w:b w:val="0"/>
          <w:sz w:val="22"/>
          <w:szCs w:val="22"/>
          <w:rtl w:val="0"/>
        </w:rPr>
        <w:t xml:space="preserve">Severity is independent of seriousness assessments.</w:t>
      </w:r>
    </w:p>
    <w:p w:rsidR="00000000" w:rsidDel="00000000" w:rsidP="00000000" w:rsidRDefault="00000000" w:rsidRPr="00000000">
      <w:pPr>
        <w:widowControl w:val="0"/>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SPONSOR: An individual, company, institution, or organization which takes responsibility for the initiation, management, and/or financing of a clinical trial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SUPECTED ADVERSE REACTION (SUSAR) (21 CFR 312.32 (a)): Any adverse event for which there is a reasonable possibility that the drug caused the adverse event. For the purposes of IND safety reporting, ‘reasonable possibility’ means there is evidence to suggest a causal relationship between the drug and the adverse event.</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UNANTICIPATED ADVERSE DEVICE EFFECT (UADE): Any serious adverse effect on health or safety or any life-threatening problem or death caused by, or associated with, a device, if that effect, problem, or death was not previously identified in nature, severity, or degree of incidence in the investigational plan of application (including a supplementary plan or application), or any other unanticipated serious problem associated with a device that relates to the rights, safety, or welfare of subjects.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UNANTICIPATED PROBLEM (UaP): Any incident, experience, or outcome that meets all of the following criteria:</w:t>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Unexpected (in terms of nature, severity, or frequency)</w:t>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Related or possibly related to participation in the research and</w:t>
      </w:r>
    </w:p>
    <w:p w:rsidR="00000000" w:rsidDel="00000000" w:rsidP="00000000" w:rsidRDefault="00000000" w:rsidRPr="00000000">
      <w:pPr>
        <w:numPr>
          <w:ilvl w:val="0"/>
          <w:numId w:val="2"/>
        </w:numPr>
        <w:spacing w:after="0" w:before="0" w:line="240" w:lineRule="auto"/>
        <w:ind w:left="1080" w:hanging="36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Suggests that the research places subjects or others at a greater risk of harm (including physical, psychological, economic, or social harm) than was previously known or recognized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tl w:val="0"/>
        </w:rPr>
        <w:t xml:space="preserve">“Many of the definitions above were obtained from the IRBMed Glossary. These definitions were current as of 19-Jun-2015 and are subject to change. Please see the </w:t>
      </w:r>
      <w:hyperlink r:id="rId5">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after="0" w:before="0" w:line="240" w:lineRule="auto"/>
        <w:ind w:left="18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right="-20" w:firstLine="360"/>
        <w:contextualSpacing w:val="0"/>
      </w:pPr>
      <w:r w:rsidDel="00000000" w:rsidR="00000000" w:rsidRPr="00000000">
        <w:rPr>
          <w:b w:val="1"/>
          <w:rtl w:val="0"/>
        </w:rPr>
        <w:t xml:space="preserve">Principal Investigator</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An individual filling the role of Principal Investigator (PI) is responsible for making sure AEs, SAEs, UADEs, and UaPs occurring during a clinical trial are appropriately reviewed, recorded and reported. The PI shall be responsible for the following activities: (</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5"/>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Protects the rights, safety, and welfare of subjects participating in the clinical trial</w:t>
      </w:r>
    </w:p>
    <w:p w:rsidR="00000000" w:rsidDel="00000000" w:rsidP="00000000" w:rsidRDefault="00000000" w:rsidRPr="00000000">
      <w:pPr>
        <w:numPr>
          <w:ilvl w:val="0"/>
          <w:numId w:val="5"/>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Designates the mechanism that will be used for monitoring subjects and identifying AEs, SAEs, UADEs, and UaPs </w:t>
      </w:r>
    </w:p>
    <w:p w:rsidR="00000000" w:rsidDel="00000000" w:rsidP="00000000" w:rsidRDefault="00000000" w:rsidRPr="00000000">
      <w:pPr>
        <w:numPr>
          <w:ilvl w:val="0"/>
          <w:numId w:val="5"/>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Manages AEs, SAEs, UADEs, and UaPs and follows up until resolved or meets the follow-up requirements of the protocol</w:t>
      </w:r>
    </w:p>
    <w:p w:rsidR="00000000" w:rsidDel="00000000" w:rsidP="00000000" w:rsidRDefault="00000000" w:rsidRPr="00000000">
      <w:pPr>
        <w:numPr>
          <w:ilvl w:val="0"/>
          <w:numId w:val="5"/>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Determines the relatedness, expectedness, severity and seriousness of AEs and SAEs</w:t>
      </w:r>
    </w:p>
    <w:p w:rsidR="00000000" w:rsidDel="00000000" w:rsidP="00000000" w:rsidRDefault="00000000" w:rsidRPr="00000000">
      <w:pPr>
        <w:numPr>
          <w:ilvl w:val="0"/>
          <w:numId w:val="5"/>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Determines whether the AE meets the definition of a SUSAR, when the clinical trial is FDA-regulated</w:t>
      </w:r>
    </w:p>
    <w:p w:rsidR="00000000" w:rsidDel="00000000" w:rsidP="00000000" w:rsidRDefault="00000000" w:rsidRPr="00000000">
      <w:pPr>
        <w:numPr>
          <w:ilvl w:val="0"/>
          <w:numId w:val="5"/>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AEs, SAEs, UADEs, and UaPs are reported to the sponsor (and to the FDA if the clinical trial is investigator-initiated), to the IRB, and to the Data Safety Monitoring Board, if applicable</w:t>
      </w:r>
    </w:p>
    <w:p w:rsidR="00000000" w:rsidDel="00000000" w:rsidP="00000000" w:rsidRDefault="00000000" w:rsidRPr="00000000">
      <w:pPr>
        <w:numPr>
          <w:ilvl w:val="0"/>
          <w:numId w:val="5"/>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that the IND/IDE Safety Report information is reported to the co-investigators on the clinical trial </w:t>
      </w:r>
    </w:p>
    <w:p w:rsidR="00000000" w:rsidDel="00000000" w:rsidP="00000000" w:rsidRDefault="00000000" w:rsidRPr="00000000">
      <w:pPr>
        <w:numPr>
          <w:ilvl w:val="0"/>
          <w:numId w:val="5"/>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Delegates activities to other research team members, as appropriate</w:t>
      </w:r>
    </w:p>
    <w:p w:rsidR="00000000" w:rsidDel="00000000" w:rsidP="00000000" w:rsidRDefault="00000000" w:rsidRPr="00000000">
      <w:pPr>
        <w:spacing w:after="0" w:line="240" w:lineRule="auto"/>
        <w:ind w:left="720"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Principal Investigator/Designee</w:t>
      </w:r>
      <w:r w:rsidDel="00000000" w:rsidR="00000000" w:rsidRPr="00000000">
        <w:rPr>
          <w:color w:val="00b0f0"/>
          <w:rtl w:val="0"/>
        </w:rPr>
        <w:t xml:space="preserve">]</w:t>
      </w:r>
      <w:r w:rsidDel="00000000" w:rsidR="00000000" w:rsidRPr="00000000">
        <w:rPr>
          <w:rtl w:val="0"/>
        </w:rPr>
      </w:r>
    </w:p>
    <w:p w:rsidR="00000000" w:rsidDel="00000000" w:rsidP="00000000" w:rsidRDefault="00000000" w:rsidRPr="00000000">
      <w:pPr>
        <w:spacing w:after="0" w:line="240" w:lineRule="auto"/>
        <w:ind w:left="288" w:firstLine="72"/>
        <w:contextualSpacing w:val="0"/>
      </w:pPr>
      <w:r w:rsidDel="00000000" w:rsidR="00000000" w:rsidRPr="00000000">
        <w:rPr>
          <w:b w:val="1"/>
          <w:rtl w:val="0"/>
        </w:rPr>
        <w:t xml:space="preserve">Study Coordinator(s)/Designee</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An individual filling this role may be responsible for the following activities: (</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40" w:lineRule="auto"/>
        <w:ind w:left="1139" w:hanging="360"/>
        <w:contextualSpacing w:val="1"/>
        <w:rPr>
          <w:b w:val="0"/>
          <w:sz w:val="22"/>
          <w:szCs w:val="22"/>
        </w:rPr>
      </w:pPr>
      <w:r w:rsidDel="00000000" w:rsidR="00000000" w:rsidRPr="00000000">
        <w:rPr>
          <w:rFonts w:ascii="Calibri" w:cs="Calibri" w:eastAsia="Calibri" w:hAnsi="Calibri"/>
          <w:b w:val="0"/>
          <w:sz w:val="22"/>
          <w:szCs w:val="22"/>
          <w:rtl w:val="0"/>
        </w:rPr>
        <w:t xml:space="preserve">Screens for AEs, SAEs, UADEs, and UaPs on an ongoing basis using subject-reported history, physical examination, laboratory data, chart review and other available data for each patient enrolled in a clinical trial </w:t>
      </w:r>
    </w:p>
    <w:p w:rsidR="00000000" w:rsidDel="00000000" w:rsidP="00000000" w:rsidRDefault="00000000" w:rsidRPr="00000000">
      <w:pPr>
        <w:numPr>
          <w:ilvl w:val="0"/>
          <w:numId w:val="1"/>
        </w:numPr>
        <w:spacing w:after="0" w:before="0" w:line="240" w:lineRule="auto"/>
        <w:ind w:left="1139" w:hanging="360"/>
        <w:contextualSpacing w:val="1"/>
        <w:rPr>
          <w:b w:val="0"/>
          <w:sz w:val="22"/>
          <w:szCs w:val="22"/>
        </w:rPr>
      </w:pPr>
      <w:r w:rsidDel="00000000" w:rsidR="00000000" w:rsidRPr="00000000">
        <w:rPr>
          <w:rFonts w:ascii="Calibri" w:cs="Calibri" w:eastAsia="Calibri" w:hAnsi="Calibri"/>
          <w:b w:val="0"/>
          <w:sz w:val="22"/>
          <w:szCs w:val="22"/>
          <w:rtl w:val="0"/>
        </w:rPr>
        <w:t xml:space="preserve">Provides follow-up information on all AEs, SAEs, UADEs, and UaPs until resolution or an appropriate end point is reached</w:t>
      </w:r>
    </w:p>
    <w:p w:rsidR="00000000" w:rsidDel="00000000" w:rsidP="00000000" w:rsidRDefault="00000000" w:rsidRPr="00000000">
      <w:pPr>
        <w:numPr>
          <w:ilvl w:val="0"/>
          <w:numId w:val="1"/>
        </w:numPr>
        <w:spacing w:after="0" w:before="0" w:line="240" w:lineRule="auto"/>
        <w:ind w:left="1139" w:hanging="360"/>
        <w:contextualSpacing w:val="1"/>
        <w:rPr>
          <w:b w:val="0"/>
          <w:sz w:val="22"/>
          <w:szCs w:val="22"/>
        </w:rPr>
      </w:pPr>
      <w:r w:rsidDel="00000000" w:rsidR="00000000" w:rsidRPr="00000000">
        <w:rPr>
          <w:rFonts w:ascii="Calibri" w:cs="Calibri" w:eastAsia="Calibri" w:hAnsi="Calibri"/>
          <w:b w:val="0"/>
          <w:sz w:val="22"/>
          <w:szCs w:val="22"/>
          <w:rtl w:val="0"/>
        </w:rPr>
        <w:t xml:space="preserve">Manages and maintains documentation related to AEs/SAEs/UADEs/UaPs submissions to the IRB and other regulatory authorities</w:t>
      </w:r>
    </w:p>
    <w:p w:rsidR="00000000" w:rsidDel="00000000" w:rsidP="00000000" w:rsidRDefault="00000000" w:rsidRPr="00000000">
      <w:pPr>
        <w:spacing w:after="0" w:line="240" w:lineRule="auto"/>
        <w:ind w:left="779"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Study Coordinator/Designee</w:t>
      </w:r>
      <w:r w:rsidDel="00000000" w:rsidR="00000000" w:rsidRPr="00000000">
        <w:rPr>
          <w:color w:val="00b0f0"/>
          <w:rtl w:val="0"/>
        </w:rPr>
        <w:t xml:space="preserve">]</w:t>
      </w:r>
      <w:r w:rsidDel="00000000" w:rsidR="00000000" w:rsidRPr="00000000">
        <w:rPr>
          <w:rtl w:val="0"/>
        </w:rPr>
      </w:r>
    </w:p>
    <w:p w:rsidR="00000000" w:rsidDel="00000000" w:rsidP="00000000" w:rsidRDefault="00000000" w:rsidRPr="00000000">
      <w:pPr>
        <w:spacing w:after="0" w:before="0" w:line="240" w:lineRule="auto"/>
        <w:ind w:left="1139" w:firstLine="0"/>
        <w:contextualSpacing w:val="0"/>
      </w:pPr>
      <w:r w:rsidDel="00000000" w:rsidR="00000000" w:rsidRPr="00000000">
        <w:rPr>
          <w:rtl w:val="0"/>
        </w:rPr>
      </w:r>
    </w:p>
    <w:p w:rsidR="00000000" w:rsidDel="00000000" w:rsidP="00000000" w:rsidRDefault="00000000" w:rsidRPr="00000000">
      <w:pPr>
        <w:spacing w:after="0" w:line="240" w:lineRule="auto"/>
        <w:ind w:left="288" w:right="-20" w:firstLine="72"/>
        <w:contextualSpacing w:val="0"/>
      </w:pPr>
      <w:r w:rsidDel="00000000" w:rsidR="00000000" w:rsidRPr="00000000">
        <w:rPr>
          <w:b w:val="1"/>
          <w:rtl w:val="0"/>
        </w:rPr>
        <w:t xml:space="preserve">Co-Investigator(s) </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An individual filling this role may be responsible for the following activities: (</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4"/>
        </w:numPr>
        <w:spacing w:after="0" w:before="0" w:line="240" w:lineRule="auto"/>
        <w:ind w:left="1080" w:right="-20" w:hanging="360"/>
        <w:contextualSpacing w:val="1"/>
        <w:rPr>
          <w:b w:val="0"/>
          <w:sz w:val="22"/>
          <w:szCs w:val="22"/>
        </w:rPr>
      </w:pPr>
      <w:r w:rsidDel="00000000" w:rsidR="00000000" w:rsidRPr="00000000">
        <w:rPr>
          <w:rFonts w:ascii="Calibri" w:cs="Calibri" w:eastAsia="Calibri" w:hAnsi="Calibri"/>
          <w:b w:val="0"/>
          <w:sz w:val="22"/>
          <w:szCs w:val="22"/>
          <w:rtl w:val="0"/>
        </w:rPr>
        <w:t xml:space="preserve">Notifies the PI and applicable research team members of any AEs, SAEs, UADEs or UaPs reported during interactions with clinical trial subjects</w:t>
      </w:r>
    </w:p>
    <w:p w:rsidR="00000000" w:rsidDel="00000000" w:rsidP="00000000" w:rsidRDefault="00000000" w:rsidRPr="00000000">
      <w:pPr>
        <w:numPr>
          <w:ilvl w:val="0"/>
          <w:numId w:val="4"/>
        </w:numPr>
        <w:spacing w:after="0" w:before="0" w:line="240" w:lineRule="auto"/>
        <w:ind w:left="1080" w:right="-20" w:hanging="360"/>
        <w:contextualSpacing w:val="1"/>
        <w:rPr>
          <w:b w:val="0"/>
          <w:sz w:val="22"/>
          <w:szCs w:val="22"/>
        </w:rPr>
      </w:pPr>
      <w:r w:rsidDel="00000000" w:rsidR="00000000" w:rsidRPr="00000000">
        <w:rPr>
          <w:rFonts w:ascii="Calibri" w:cs="Calibri" w:eastAsia="Calibri" w:hAnsi="Calibri"/>
          <w:b w:val="0"/>
          <w:sz w:val="22"/>
          <w:szCs w:val="22"/>
          <w:rtl w:val="0"/>
        </w:rPr>
        <w:t xml:space="preserve">Determines the relatedness, expectedness, severity and seriousness of the AE, SAE, UADE, or UaP </w:t>
      </w:r>
    </w:p>
    <w:p w:rsidR="00000000" w:rsidDel="00000000" w:rsidP="00000000" w:rsidRDefault="00000000" w:rsidRPr="00000000">
      <w:pPr>
        <w:spacing w:after="0" w:line="240" w:lineRule="auto"/>
        <w:ind w:left="720"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Co (Sub)-Investigator/Designee]</w:t>
      </w:r>
    </w:p>
    <w:p w:rsidR="00000000" w:rsidDel="00000000" w:rsidP="00000000" w:rsidRDefault="00000000" w:rsidRPr="00000000">
      <w:pPr>
        <w:spacing w:after="0" w:line="240" w:lineRule="auto"/>
        <w:ind w:left="779" w:right="-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p w:rsidR="00000000" w:rsidDel="00000000" w:rsidP="00000000" w:rsidRDefault="00000000" w:rsidRPr="00000000">
      <w:pPr>
        <w:spacing w:after="0" w:before="0" w:line="240" w:lineRule="auto"/>
        <w:ind w:left="72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Assessing AEs/SAEs/UADEs/UaPs</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[Describe the process for assessing AEs/SAEs/UADEs/UaPs.]</w:t>
      </w:r>
    </w:p>
    <w:p w:rsidR="00000000" w:rsidDel="00000000" w:rsidP="00000000" w:rsidRDefault="00000000" w:rsidRPr="00000000">
      <w:pPr>
        <w:spacing w:after="0" w:line="240" w:lineRule="auto"/>
        <w:ind w:left="288"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Managing AEs/SAEs/UADEs/UaPs</w:t>
      </w:r>
    </w:p>
    <w:p w:rsidR="00000000" w:rsidDel="00000000" w:rsidP="00000000" w:rsidRDefault="00000000" w:rsidRPr="00000000">
      <w:pPr>
        <w:spacing w:after="0" w:line="240" w:lineRule="auto"/>
        <w:ind w:left="360" w:firstLine="0"/>
        <w:contextualSpacing w:val="0"/>
      </w:pPr>
      <w:r w:rsidDel="00000000" w:rsidR="00000000" w:rsidRPr="00000000">
        <w:rPr>
          <w:i w:val="1"/>
          <w:color w:val="00b0f0"/>
          <w:rtl w:val="0"/>
        </w:rPr>
        <w:t xml:space="preserve">[Describe the process for managing AEs/SAEs/UADEs/UaPs, including their follow up until resolved, or the follow-up requirements of the protocol have been met.]</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Calibri" w:cs="Calibri" w:eastAsia="Calibri" w:hAnsi="Calibri"/>
          <w:b w:val="1"/>
          <w:rtl w:val="0"/>
        </w:rPr>
        <w:t xml:space="preserve">Recording and Maintaining Documentation of AEs/SAEs/UADEs/UaPs</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r w:rsidDel="00000000" w:rsidR="00000000" w:rsidRPr="00000000">
        <w:rPr>
          <w:rFonts w:ascii="Calibri" w:cs="Calibri" w:eastAsia="Calibri" w:hAnsi="Calibri"/>
          <w:i w:val="1"/>
          <w:color w:val="00b0f0"/>
          <w:rtl w:val="0"/>
        </w:rPr>
        <w:t xml:space="preserve">[Describe the process for recording AEs/SAEs/UADEs/UaPs, including determination of </w:t>
      </w:r>
      <w:r w:rsidDel="00000000" w:rsidR="00000000" w:rsidRPr="00000000">
        <w:rPr>
          <w:i w:val="1"/>
          <w:color w:val="00b0f0"/>
          <w:rtl w:val="0"/>
        </w:rPr>
        <w:t xml:space="preserve">relatedness, expectedness, severity and seriousness.</w:t>
      </w:r>
      <w:r w:rsidDel="00000000" w:rsidR="00000000" w:rsidRPr="00000000">
        <w:rPr>
          <w:rFonts w:ascii="Calibri" w:cs="Calibri" w:eastAsia="Calibri" w:hAnsi="Calibri"/>
          <w:i w:val="1"/>
          <w:color w:val="00b0f0"/>
          <w:rtl w:val="0"/>
        </w:rPr>
        <w:t xml:space="preserve">]</w:t>
      </w:r>
      <w:r w:rsidDel="00000000" w:rsidR="00000000" w:rsidRPr="00000000">
        <w:rPr>
          <w:i w:val="1"/>
          <w:rtl w:val="0"/>
        </w:rPr>
        <w:tab/>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72" w:firstLine="288"/>
        <w:contextualSpacing w:val="0"/>
      </w:pPr>
      <w:r w:rsidDel="00000000" w:rsidR="00000000" w:rsidRPr="00000000">
        <w:rPr>
          <w:rFonts w:ascii="Calibri" w:cs="Calibri" w:eastAsia="Calibri" w:hAnsi="Calibri"/>
          <w:b w:val="1"/>
          <w:sz w:val="22"/>
          <w:szCs w:val="22"/>
          <w:rtl w:val="0"/>
        </w:rPr>
        <w:t xml:space="preserve">Reporting Non-Serious Adverse Events</w:t>
      </w:r>
    </w:p>
    <w:p w:rsidR="00000000" w:rsidDel="00000000" w:rsidP="00000000" w:rsidRDefault="00000000" w:rsidRPr="00000000">
      <w:pPr>
        <w:spacing w:after="0" w:before="0" w:line="240" w:lineRule="auto"/>
        <w:ind w:left="72" w:firstLine="288"/>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reporting non-serious AEs. This should include the process for notification of the DSMB, local and central IRBs, sponsor, etc. This may include the preparation and submission of annual and/or progress reports</w:t>
      </w:r>
      <w:r w:rsidDel="00000000" w:rsidR="00000000" w:rsidRPr="00000000">
        <w:rPr>
          <w:rFonts w:ascii="Arial" w:cs="Arial" w:eastAsia="Arial" w:hAnsi="Arial"/>
          <w:b w:val="0"/>
          <w:color w:val="00b0f0"/>
          <w:sz w:val="20"/>
          <w:szCs w:val="20"/>
          <w:rtl w:val="0"/>
        </w:rPr>
        <w:t xml:space="preserve">. </w:t>
      </w:r>
      <w:r w:rsidDel="00000000" w:rsidR="00000000" w:rsidRPr="00000000">
        <w:rPr>
          <w:rFonts w:ascii="Calibri" w:cs="Calibri" w:eastAsia="Calibri" w:hAnsi="Calibri"/>
          <w:b w:val="0"/>
          <w:i w:val="1"/>
          <w:color w:val="00b0f0"/>
          <w:sz w:val="22"/>
          <w:szCs w:val="22"/>
          <w:rtl w:val="0"/>
        </w:rPr>
        <w:t xml:space="preserve">Please see the IRBMED link below for reporting requirements</w:t>
      </w:r>
      <w:r w:rsidDel="00000000" w:rsidR="00000000" w:rsidRPr="00000000">
        <w:rPr>
          <w:rFonts w:ascii="Calibri" w:cs="Calibri" w:eastAsia="Calibri" w:hAnsi="Calibri"/>
          <w:b w:val="0"/>
          <w:color w:val="00b0f0"/>
          <w:sz w:val="20"/>
          <w:szCs w:val="20"/>
          <w:rtl w:val="0"/>
        </w:rPr>
        <w:t xml:space="preserve">.</w:t>
      </w:r>
      <w:r w:rsidDel="00000000" w:rsidR="00000000" w:rsidRPr="00000000">
        <w:rPr>
          <w:rFonts w:ascii="Calibri" w:cs="Calibri" w:eastAsia="Calibri" w:hAnsi="Calibri"/>
          <w:b w:val="0"/>
          <w:color w:val="00b0f0"/>
          <w:sz w:val="22"/>
          <w:szCs w:val="22"/>
          <w:rtl w:val="0"/>
        </w:rPr>
        <w:t xml:space="preserve">]</w:t>
      </w:r>
      <w:r w:rsidDel="00000000" w:rsidR="00000000" w:rsidRPr="00000000">
        <w:rPr>
          <w:rtl w:val="0"/>
        </w:rPr>
      </w:r>
    </w:p>
    <w:p w:rsidR="00000000" w:rsidDel="00000000" w:rsidP="00000000" w:rsidRDefault="00000000" w:rsidRPr="00000000">
      <w:pPr>
        <w:spacing w:after="0" w:before="0" w:line="240" w:lineRule="auto"/>
        <w:ind w:left="72"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1"/>
          <w:sz w:val="22"/>
          <w:szCs w:val="22"/>
          <w:rtl w:val="0"/>
        </w:rPr>
        <w:t xml:space="preserve">Reporting Serious Adverse Events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reporting SAEs. This should include the process and timeframes for notification of the DSMB, local and central IRBs, sponsor, etc. Please see the IRBMED link below for reporting requirements. This may include the preparation and submission of annual and/or progress reports. It should also include use of the MedWatch form in the case of an SAE in a FDA-regulated clinical trial.]</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1"/>
          <w:sz w:val="22"/>
          <w:szCs w:val="22"/>
          <w:rtl w:val="0"/>
        </w:rPr>
        <w:t xml:space="preserve">Reporting Unanticipated Adverse Device Effects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reporting UADEs. This should include the process and timeframes for notification of the DSMB, local and central IRBs, sponsor, FDA, etc.]</w:t>
      </w:r>
      <w:r w:rsidDel="00000000" w:rsidR="00000000" w:rsidRPr="00000000">
        <w:rPr>
          <w:rtl w:val="0"/>
        </w:rPr>
      </w:r>
    </w:p>
    <w:p w:rsidR="00000000" w:rsidDel="00000000" w:rsidP="00000000" w:rsidRDefault="00000000" w:rsidRPr="00000000">
      <w:pPr>
        <w:spacing w:after="0" w:before="0" w:line="240" w:lineRule="auto"/>
        <w:ind w:left="288"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1"/>
          <w:sz w:val="22"/>
          <w:szCs w:val="22"/>
          <w:rtl w:val="0"/>
        </w:rPr>
        <w:t xml:space="preserve">Reporting Unanticipated Problems</w:t>
      </w:r>
    </w:p>
    <w:p w:rsidR="00000000" w:rsidDel="00000000" w:rsidP="00000000" w:rsidRDefault="00000000" w:rsidRPr="00000000">
      <w:pPr>
        <w:spacing w:after="0" w:before="0" w:line="240" w:lineRule="auto"/>
        <w:ind w:left="288"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i w:val="1"/>
          <w:color w:val="00b0f0"/>
          <w:sz w:val="22"/>
          <w:szCs w:val="22"/>
          <w:rtl w:val="0"/>
        </w:rPr>
        <w:t xml:space="preserve">[Describe the process for reporting UaPs. This should include the process for notification of the DSMB, local and central IRBs, sponsor, etc. This may include the preparation and submission of annual and/or progress reports</w:t>
      </w:r>
      <w:r w:rsidDel="00000000" w:rsidR="00000000" w:rsidRPr="00000000">
        <w:rPr>
          <w:rFonts w:ascii="Arial" w:cs="Arial" w:eastAsia="Arial" w:hAnsi="Arial"/>
          <w:b w:val="0"/>
          <w:color w:val="00b0f0"/>
          <w:sz w:val="20"/>
          <w:szCs w:val="20"/>
          <w:rtl w:val="0"/>
        </w:rPr>
        <w:t xml:space="preserve">. </w:t>
      </w:r>
      <w:r w:rsidDel="00000000" w:rsidR="00000000" w:rsidRPr="00000000">
        <w:rPr>
          <w:rFonts w:ascii="Calibri" w:cs="Calibri" w:eastAsia="Calibri" w:hAnsi="Calibri"/>
          <w:b w:val="0"/>
          <w:i w:val="1"/>
          <w:color w:val="00b0f0"/>
          <w:sz w:val="22"/>
          <w:szCs w:val="22"/>
          <w:rtl w:val="0"/>
        </w:rPr>
        <w:t xml:space="preserve">Please see the IRBMED link below for reporting requirements.]</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240" w:lineRule="auto"/>
        <w:ind w:right="-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pPr>
        <w:spacing w:after="0" w:before="0" w:line="240" w:lineRule="auto"/>
        <w:ind w:left="72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FDA - Guidance for Industry and Investigators: Safety Reporting Requirements of INDs and BA/BE Studies:</w:t>
      </w:r>
    </w:p>
    <w:p w:rsidR="00000000" w:rsidDel="00000000" w:rsidP="00000000" w:rsidRDefault="00000000" w:rsidRPr="00000000">
      <w:pPr>
        <w:spacing w:after="0" w:line="240" w:lineRule="auto"/>
        <w:ind w:left="360" w:right="-20" w:firstLine="0"/>
        <w:contextualSpacing w:val="0"/>
      </w:pPr>
      <w:hyperlink r:id="rId6">
        <w:r w:rsidDel="00000000" w:rsidR="00000000" w:rsidRPr="00000000">
          <w:rPr>
            <w:color w:val="0000ff"/>
            <w:u w:val="single"/>
            <w:rtl w:val="0"/>
          </w:rPr>
          <w:t xml:space="preserve">http://www.fda.gov/downloads/Drugs/.../Guidances/UCM227351.pdf</w:t>
        </w:r>
      </w:hyperlink>
      <w:hyperlink r:id="rId7">
        <w:r w:rsidDel="00000000" w:rsidR="00000000" w:rsidRPr="00000000">
          <w:rPr>
            <w:rtl w:val="0"/>
          </w:rPr>
        </w:r>
      </w:hyperlink>
    </w:p>
    <w:p w:rsidR="00000000" w:rsidDel="00000000" w:rsidP="00000000" w:rsidRDefault="00000000" w:rsidRPr="00000000">
      <w:pPr>
        <w:spacing w:after="0" w:line="240" w:lineRule="auto"/>
        <w:ind w:left="360" w:right="-20" w:firstLine="0"/>
        <w:contextualSpacing w:val="0"/>
      </w:pPr>
      <w:hyperlink r:id="rId8">
        <w:r w:rsidDel="00000000" w:rsidR="00000000" w:rsidRPr="00000000">
          <w:rPr>
            <w:rtl w:val="0"/>
          </w:rPr>
        </w:r>
      </w:hyperlink>
    </w:p>
    <w:p w:rsidR="00000000" w:rsidDel="00000000" w:rsidP="00000000" w:rsidRDefault="00000000" w:rsidRPr="00000000">
      <w:pPr>
        <w:spacing w:after="0" w:line="240" w:lineRule="auto"/>
        <w:ind w:left="360" w:right="-20" w:firstLine="0"/>
        <w:contextualSpacing w:val="0"/>
      </w:pPr>
      <w:r w:rsidDel="00000000" w:rsidR="00000000" w:rsidRPr="00000000">
        <w:rPr>
          <w:color w:val="333333"/>
          <w:rtl w:val="0"/>
        </w:rPr>
        <w:t xml:space="preserve">FDA - Investigational New Drug (IND) or Device Exemption (IDE) Process (CBER) </w:t>
      </w:r>
      <w:hyperlink r:id="rId9">
        <w:r w:rsidDel="00000000" w:rsidR="00000000" w:rsidRPr="00000000">
          <w:rPr>
            <w:color w:val="0000ff"/>
            <w:u w:val="single"/>
            <w:rtl w:val="0"/>
          </w:rPr>
          <w:t xml:space="preserve">http://www.fda.gov/BiologicsBloodVaccines/DevelopmentApprovalProcess/InvestigationalNewDrugINDorDeviceExemptionIDEProcess/</w:t>
        </w:r>
      </w:hyperlink>
      <w:hyperlink r:id="rId10">
        <w:r w:rsidDel="00000000" w:rsidR="00000000" w:rsidRPr="00000000">
          <w:rPr>
            <w:rtl w:val="0"/>
          </w:rPr>
        </w:r>
      </w:hyperlink>
    </w:p>
    <w:p w:rsidR="00000000" w:rsidDel="00000000" w:rsidP="00000000" w:rsidRDefault="00000000" w:rsidRPr="00000000">
      <w:pPr>
        <w:spacing w:after="0" w:line="240" w:lineRule="auto"/>
        <w:ind w:left="360" w:right="-20" w:firstLine="0"/>
        <w:contextualSpacing w:val="0"/>
      </w:pPr>
      <w:hyperlink r:id="rId11">
        <w:r w:rsidDel="00000000" w:rsidR="00000000" w:rsidRPr="00000000">
          <w:rPr>
            <w:rtl w:val="0"/>
          </w:rPr>
        </w:r>
      </w:hyperlink>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FDA - Reporting Serious Problems to FDA:</w:t>
      </w:r>
    </w:p>
    <w:p w:rsidR="00000000" w:rsidDel="00000000" w:rsidP="00000000" w:rsidRDefault="00000000" w:rsidRPr="00000000">
      <w:pPr>
        <w:spacing w:after="0" w:line="240" w:lineRule="auto"/>
        <w:ind w:left="360" w:right="-20" w:firstLine="0"/>
        <w:contextualSpacing w:val="0"/>
      </w:pPr>
      <w:hyperlink r:id="rId12">
        <w:r w:rsidDel="00000000" w:rsidR="00000000" w:rsidRPr="00000000">
          <w:rPr>
            <w:color w:val="0000ff"/>
            <w:u w:val="single"/>
            <w:rtl w:val="0"/>
          </w:rPr>
          <w:t xml:space="preserve">http://www.fda.gov/safety/medwatch/howtoreport/ucm053087.htm</w:t>
        </w:r>
      </w:hyperlink>
      <w:hyperlink r:id="rId13">
        <w:r w:rsidDel="00000000" w:rsidR="00000000" w:rsidRPr="00000000">
          <w:rPr>
            <w:rtl w:val="0"/>
          </w:rPr>
        </w:r>
      </w:hyperlink>
    </w:p>
    <w:p w:rsidR="00000000" w:rsidDel="00000000" w:rsidP="00000000" w:rsidRDefault="00000000" w:rsidRPr="00000000">
      <w:pPr>
        <w:spacing w:after="0" w:line="240" w:lineRule="auto"/>
        <w:ind w:left="360" w:right="-20" w:firstLine="0"/>
        <w:contextualSpacing w:val="0"/>
      </w:pPr>
      <w:hyperlink r:id="rId14">
        <w:r w:rsidDel="00000000" w:rsidR="00000000" w:rsidRPr="00000000">
          <w:rPr>
            <w:rtl w:val="0"/>
          </w:rPr>
        </w:r>
      </w:hyperlink>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International Conference on Harmonisation:</w:t>
      </w:r>
    </w:p>
    <w:p w:rsidR="00000000" w:rsidDel="00000000" w:rsidP="00000000" w:rsidRDefault="00000000" w:rsidRPr="00000000">
      <w:pPr>
        <w:widowControl w:val="0"/>
        <w:spacing w:after="0" w:line="239" w:lineRule="auto"/>
        <w:ind w:left="360" w:right="720" w:firstLine="0"/>
        <w:contextualSpacing w:val="0"/>
      </w:pPr>
      <w:hyperlink r:id="rId15">
        <w:r w:rsidDel="00000000" w:rsidR="00000000" w:rsidRPr="00000000">
          <w:rPr>
            <w:color w:val="0000ff"/>
            <w:u w:val="single"/>
            <w:rtl w:val="0"/>
          </w:rPr>
          <w:t xml:space="preserve">http://www.ich.org/</w:t>
        </w:r>
      </w:hyperlink>
    </w:p>
    <w:p w:rsidR="00000000" w:rsidDel="00000000" w:rsidP="00000000" w:rsidRDefault="00000000" w:rsidRPr="00000000">
      <w:pPr>
        <w:spacing w:after="0" w:line="240" w:lineRule="auto"/>
        <w:ind w:right="-20"/>
        <w:contextualSpacing w:val="0"/>
      </w:pPr>
      <w:hyperlink r:id="rId16">
        <w:r w:rsidDel="00000000" w:rsidR="00000000" w:rsidRPr="00000000">
          <w:rPr>
            <w:rtl w:val="0"/>
          </w:rPr>
        </w:r>
      </w:hyperlink>
    </w:p>
    <w:p w:rsidR="00000000" w:rsidDel="00000000" w:rsidP="00000000" w:rsidRDefault="00000000" w:rsidRPr="00000000">
      <w:pPr>
        <w:spacing w:after="0" w:line="240" w:lineRule="auto"/>
        <w:ind w:left="360" w:right="-20" w:firstLine="0"/>
        <w:contextualSpacing w:val="0"/>
      </w:pPr>
      <w:r w:rsidDel="00000000" w:rsidR="00000000" w:rsidRPr="00000000">
        <w:rPr>
          <w:rFonts w:ascii="Calibri" w:cs="Calibri" w:eastAsia="Calibri" w:hAnsi="Calibri"/>
          <w:rtl w:val="0"/>
        </w:rPr>
        <w:t xml:space="preserve">US Department of Health and Human Services Office for Human Research Protections - Guidance on Reviewing and Reporting Unanticipated Problems Involving Risks to Subjects or Others and Adverse Events:</w:t>
      </w:r>
    </w:p>
    <w:p w:rsidR="00000000" w:rsidDel="00000000" w:rsidP="00000000" w:rsidRDefault="00000000" w:rsidRPr="00000000">
      <w:pPr>
        <w:spacing w:after="0" w:line="240" w:lineRule="auto"/>
        <w:ind w:left="360" w:right="-20" w:firstLine="0"/>
        <w:contextualSpacing w:val="0"/>
      </w:pPr>
      <w:hyperlink r:id="rId17">
        <w:r w:rsidDel="00000000" w:rsidR="00000000" w:rsidRPr="00000000">
          <w:rPr>
            <w:rFonts w:ascii="Calibri" w:cs="Calibri" w:eastAsia="Calibri" w:hAnsi="Calibri"/>
            <w:color w:val="0000ff"/>
            <w:u w:val="single"/>
            <w:rtl w:val="0"/>
          </w:rPr>
          <w:t xml:space="preserve">http://www.hhs.gov/ohrp/policy/advevntguid.html#Q2</w:t>
        </w:r>
      </w:hyperlink>
      <w:r w:rsidDel="00000000" w:rsidR="00000000" w:rsidRPr="00000000">
        <w:rPr>
          <w:rFonts w:ascii="Calibri" w:cs="Calibri" w:eastAsia="Calibri" w:hAnsi="Calibri"/>
          <w:rtl w:val="0"/>
        </w:rPr>
        <w:t xml:space="preserve"> </w:t>
      </w:r>
    </w:p>
    <w:p w:rsidR="00000000" w:rsidDel="00000000" w:rsidP="00000000" w:rsidRDefault="00000000" w:rsidRPr="00000000">
      <w:pPr>
        <w:spacing w:after="0" w:line="240" w:lineRule="auto"/>
        <w:ind w:right="-2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University of Michigan IRBMED </w:t>
      </w:r>
      <w:r w:rsidDel="00000000" w:rsidR="00000000" w:rsidRPr="00000000">
        <w:rPr>
          <w:color w:val="0000ff"/>
          <w:rtl w:val="0"/>
        </w:rPr>
        <w:t xml:space="preserve">- </w:t>
      </w:r>
      <w:r w:rsidDel="00000000" w:rsidR="00000000" w:rsidRPr="00000000">
        <w:rPr>
          <w:rtl w:val="0"/>
        </w:rPr>
        <w:t xml:space="preserve">Adverse Events (AEs), Other Reportable Information and Occurrences (ORIOs), and Other Required Reporting:</w:t>
      </w:r>
    </w:p>
    <w:p w:rsidR="00000000" w:rsidDel="00000000" w:rsidP="00000000" w:rsidRDefault="00000000" w:rsidRPr="00000000">
      <w:pPr>
        <w:spacing w:after="0" w:line="240" w:lineRule="auto"/>
        <w:ind w:left="360" w:right="-20" w:firstLine="0"/>
        <w:contextualSpacing w:val="0"/>
      </w:pPr>
      <w:hyperlink r:id="rId18">
        <w:r w:rsidDel="00000000" w:rsidR="00000000" w:rsidRPr="00000000">
          <w:rPr>
            <w:color w:val="0000ff"/>
            <w:u w:val="single"/>
            <w:rtl w:val="0"/>
          </w:rPr>
          <w:t xml:space="preserve">http://medicine.umich.edu/medschool/research/office-research/institutional-review-boards/guidance/adverse-events-aes-other-reportable-information-and-occurrences-orios-and-other-required-reporting</w:t>
        </w:r>
      </w:hyperlink>
      <w:r w:rsidDel="00000000" w:rsidR="00000000" w:rsidRPr="00000000">
        <w:rPr>
          <w:color w:val="000000"/>
          <w:rtl w:val="0"/>
        </w:rPr>
        <w:t xml:space="preserve"> </w:t>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t xml:space="preserve">University of Michigan IRBMED - Study - Specific Adverse Event (AE) Reporting Plans:</w:t>
      </w: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hyperlink r:id="rId19">
        <w:r w:rsidDel="00000000" w:rsidR="00000000" w:rsidRPr="00000000">
          <w:rPr>
            <w:color w:val="0000ff"/>
            <w:u w:val="single"/>
            <w:rtl w:val="0"/>
          </w:rPr>
          <w:t xml:space="preserve">http://medicine.umich.edu/medschool/research/office-research/institutional-review-boards/guidance/adverse-events-aes-other-reportable-information-and-occurrences-orios-and-other-required-reporting/adverse-event-reporting/study-specific-adverse-event-ae-reporting-plans</w:t>
        </w:r>
      </w:hyperlink>
      <w:r w:rsidDel="00000000" w:rsidR="00000000" w:rsidRPr="00000000">
        <w:rPr>
          <w:rtl w:val="0"/>
        </w:rPr>
        <w:t xml:space="preserve"> </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references]</w:t>
      </w:r>
    </w:p>
    <w:p w:rsidR="00000000" w:rsidDel="00000000" w:rsidP="00000000" w:rsidRDefault="00000000" w:rsidRPr="00000000">
      <w:pPr>
        <w:numPr>
          <w:ilvl w:val="0"/>
          <w:numId w:val="3"/>
        </w:numPr>
        <w:spacing w:after="0" w:before="0" w:line="240" w:lineRule="auto"/>
        <w:ind w:left="360" w:right="-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w:t>
      </w:r>
    </w:p>
    <w:p w:rsidR="00000000" w:rsidDel="00000000" w:rsidP="00000000" w:rsidRDefault="00000000" w:rsidRPr="00000000">
      <w:pPr>
        <w:spacing w:after="0" w:line="240" w:lineRule="auto"/>
        <w:ind w:left="360" w:right="936" w:firstLine="0"/>
        <w:contextualSpacing w:val="0"/>
      </w:pPr>
      <w:r w:rsidDel="00000000" w:rsidR="00000000" w:rsidRPr="00000000">
        <w:rPr>
          <w:rtl w:val="0"/>
        </w:rPr>
        <w:t xml:space="preserve">(</w:t>
      </w:r>
      <w:r w:rsidDel="00000000" w:rsidR="00000000" w:rsidRPr="00000000">
        <w:rPr>
          <w:b w:val="1"/>
          <w:rtl w:val="0"/>
        </w:rPr>
        <w:t xml:space="preserve">MANDATORY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pPr>
        <w:tabs>
          <w:tab w:val="left" w:pos="3210"/>
        </w:tabs>
        <w:spacing w:after="0" w:line="240" w:lineRule="auto"/>
        <w:ind w:right="-20"/>
        <w:contextualSpacing w:val="0"/>
      </w:pPr>
      <w:r w:rsidDel="00000000" w:rsidR="00000000" w:rsidRPr="00000000">
        <w:rPr>
          <w:rFonts w:ascii="Calibri" w:cs="Calibri" w:eastAsia="Calibri" w:hAnsi="Calibri"/>
          <w:rtl w:val="0"/>
        </w:rPr>
        <w:tab/>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r w:rsidDel="00000000" w:rsidR="00000000" w:rsidRPr="00000000">
        <w:rPr>
          <w:rtl w:val="0"/>
        </w:rPr>
      </w:r>
    </w:p>
    <w:p w:rsidR="00000000" w:rsidDel="00000000" w:rsidP="00000000" w:rsidRDefault="00000000" w:rsidRPr="00000000">
      <w:pPr>
        <w:spacing w:after="0" w:line="240" w:lineRule="auto"/>
        <w:ind w:left="360" w:right="-20" w:firstLine="0"/>
        <w:contextualSpacing w:val="0"/>
      </w:pPr>
      <w:r w:rsidDel="00000000" w:rsidR="00000000" w:rsidRPr="00000000">
        <w:rPr>
          <w:rtl w:val="0"/>
        </w:rPr>
      </w:r>
    </w:p>
    <w:sectPr>
      <w:headerReference r:id="rId20" w:type="default"/>
      <w:footerReference r:id="rId21"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MS Gothic"/>
  <w:font w:name="Arial"/>
  <w:font w:name="Helvetica Neue">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bookmarkStart w:colFirst="0" w:colLast="0" w:name="h.gjdgxs" w:id="0"/>
          <w:bookmarkEnd w:id="0"/>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ORGANIZATION:</w:t>
          </w:r>
        </w:p>
      </w:tc>
      <w:tc>
        <w:tcPr>
          <w:gridSpan w:val="3"/>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name of the Organization, Department or Project which owns the SOP]</w:t>
          </w:r>
          <w:r w:rsidDel="00000000" w:rsidR="00000000" w:rsidRPr="00000000">
            <w:rPr>
              <w:rtl w:val="0"/>
            </w:rPr>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TITLE:</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tc>
      <w:tc>
        <w:tcPr>
          <w:gridSpan w:val="3"/>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Management and Reporting of Adverse Events, Serious Adverse Events, Unanticipated Adverse Device Effects, and Unanticipated Problems</w:t>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ID:</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identifier]</w:t>
          </w:r>
          <w:r w:rsidDel="00000000" w:rsidR="00000000" w:rsidRPr="00000000">
            <w:rPr>
              <w:rtl w:val="0"/>
            </w:rPr>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VERSION:</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version]</w:t>
          </w:r>
          <w:r w:rsidDel="00000000" w:rsidR="00000000" w:rsidRPr="00000000">
            <w:rPr>
              <w:rtl w:val="0"/>
            </w:rPr>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139" w:firstLine="779"/>
      </w:pPr>
      <w:rPr>
        <w:rFonts w:ascii="Arial" w:cs="Arial" w:eastAsia="Arial" w:hAnsi="Arial"/>
      </w:rPr>
    </w:lvl>
    <w:lvl w:ilvl="1">
      <w:start w:val="1"/>
      <w:numFmt w:val="bullet"/>
      <w:lvlText w:val="o"/>
      <w:lvlJc w:val="left"/>
      <w:pPr>
        <w:ind w:left="1859" w:firstLine="1499"/>
      </w:pPr>
      <w:rPr>
        <w:rFonts w:ascii="Arial" w:cs="Arial" w:eastAsia="Arial" w:hAnsi="Arial"/>
      </w:rPr>
    </w:lvl>
    <w:lvl w:ilvl="2">
      <w:start w:val="1"/>
      <w:numFmt w:val="bullet"/>
      <w:lvlText w:val="▪"/>
      <w:lvlJc w:val="left"/>
      <w:pPr>
        <w:ind w:left="2579" w:firstLine="2219"/>
      </w:pPr>
      <w:rPr>
        <w:rFonts w:ascii="Arial" w:cs="Arial" w:eastAsia="Arial" w:hAnsi="Arial"/>
      </w:rPr>
    </w:lvl>
    <w:lvl w:ilvl="3">
      <w:start w:val="1"/>
      <w:numFmt w:val="bullet"/>
      <w:lvlText w:val="●"/>
      <w:lvlJc w:val="left"/>
      <w:pPr>
        <w:ind w:left="3299" w:firstLine="2939"/>
      </w:pPr>
      <w:rPr>
        <w:rFonts w:ascii="Arial" w:cs="Arial" w:eastAsia="Arial" w:hAnsi="Arial"/>
      </w:rPr>
    </w:lvl>
    <w:lvl w:ilvl="4">
      <w:start w:val="1"/>
      <w:numFmt w:val="bullet"/>
      <w:lvlText w:val="o"/>
      <w:lvlJc w:val="left"/>
      <w:pPr>
        <w:ind w:left="4019" w:firstLine="3659"/>
      </w:pPr>
      <w:rPr>
        <w:rFonts w:ascii="Arial" w:cs="Arial" w:eastAsia="Arial" w:hAnsi="Arial"/>
      </w:rPr>
    </w:lvl>
    <w:lvl w:ilvl="5">
      <w:start w:val="1"/>
      <w:numFmt w:val="bullet"/>
      <w:lvlText w:val="▪"/>
      <w:lvlJc w:val="left"/>
      <w:pPr>
        <w:ind w:left="4739" w:firstLine="4379"/>
      </w:pPr>
      <w:rPr>
        <w:rFonts w:ascii="Arial" w:cs="Arial" w:eastAsia="Arial" w:hAnsi="Arial"/>
      </w:rPr>
    </w:lvl>
    <w:lvl w:ilvl="6">
      <w:start w:val="1"/>
      <w:numFmt w:val="bullet"/>
      <w:lvlText w:val="●"/>
      <w:lvlJc w:val="left"/>
      <w:pPr>
        <w:ind w:left="5459" w:firstLine="5099"/>
      </w:pPr>
      <w:rPr>
        <w:rFonts w:ascii="Arial" w:cs="Arial" w:eastAsia="Arial" w:hAnsi="Arial"/>
      </w:rPr>
    </w:lvl>
    <w:lvl w:ilvl="7">
      <w:start w:val="1"/>
      <w:numFmt w:val="bullet"/>
      <w:lvlText w:val="o"/>
      <w:lvlJc w:val="left"/>
      <w:pPr>
        <w:ind w:left="6179" w:firstLine="5819"/>
      </w:pPr>
      <w:rPr>
        <w:rFonts w:ascii="Arial" w:cs="Arial" w:eastAsia="Arial" w:hAnsi="Arial"/>
      </w:rPr>
    </w:lvl>
    <w:lvl w:ilvl="8">
      <w:start w:val="1"/>
      <w:numFmt w:val="bullet"/>
      <w:lvlText w:val="▪"/>
      <w:lvlJc w:val="left"/>
      <w:pPr>
        <w:ind w:left="6899" w:firstLine="6539"/>
      </w:pPr>
      <w:rPr>
        <w:rFonts w:ascii="Arial" w:cs="Arial" w:eastAsia="Arial" w:hAnsi="Arial"/>
      </w:rPr>
    </w:lvl>
  </w:abstractNum>
  <w:abstractNum w:abstractNumId="2">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3">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5">
    <w:lvl w:ilvl="0">
      <w:start w:val="1"/>
      <w:numFmt w:val="bullet"/>
      <w:lvlText w:val="●"/>
      <w:lvlJc w:val="left"/>
      <w:pPr>
        <w:ind w:left="1139" w:firstLine="779"/>
      </w:pPr>
      <w:rPr>
        <w:rFonts w:ascii="Arial" w:cs="Arial" w:eastAsia="Arial" w:hAnsi="Arial"/>
      </w:rPr>
    </w:lvl>
    <w:lvl w:ilvl="1">
      <w:start w:val="1"/>
      <w:numFmt w:val="bullet"/>
      <w:lvlText w:val="o"/>
      <w:lvlJc w:val="left"/>
      <w:pPr>
        <w:ind w:left="1859" w:firstLine="1499"/>
      </w:pPr>
      <w:rPr>
        <w:rFonts w:ascii="Arial" w:cs="Arial" w:eastAsia="Arial" w:hAnsi="Arial"/>
      </w:rPr>
    </w:lvl>
    <w:lvl w:ilvl="2">
      <w:start w:val="1"/>
      <w:numFmt w:val="bullet"/>
      <w:lvlText w:val="▪"/>
      <w:lvlJc w:val="left"/>
      <w:pPr>
        <w:ind w:left="2579" w:firstLine="2219"/>
      </w:pPr>
      <w:rPr>
        <w:rFonts w:ascii="Arial" w:cs="Arial" w:eastAsia="Arial" w:hAnsi="Arial"/>
      </w:rPr>
    </w:lvl>
    <w:lvl w:ilvl="3">
      <w:start w:val="1"/>
      <w:numFmt w:val="bullet"/>
      <w:lvlText w:val="●"/>
      <w:lvlJc w:val="left"/>
      <w:pPr>
        <w:ind w:left="3299" w:firstLine="2939"/>
      </w:pPr>
      <w:rPr>
        <w:rFonts w:ascii="Arial" w:cs="Arial" w:eastAsia="Arial" w:hAnsi="Arial"/>
      </w:rPr>
    </w:lvl>
    <w:lvl w:ilvl="4">
      <w:start w:val="1"/>
      <w:numFmt w:val="bullet"/>
      <w:lvlText w:val="o"/>
      <w:lvlJc w:val="left"/>
      <w:pPr>
        <w:ind w:left="4019" w:firstLine="3659"/>
      </w:pPr>
      <w:rPr>
        <w:rFonts w:ascii="Arial" w:cs="Arial" w:eastAsia="Arial" w:hAnsi="Arial"/>
      </w:rPr>
    </w:lvl>
    <w:lvl w:ilvl="5">
      <w:start w:val="1"/>
      <w:numFmt w:val="bullet"/>
      <w:lvlText w:val="▪"/>
      <w:lvlJc w:val="left"/>
      <w:pPr>
        <w:ind w:left="4739" w:firstLine="4379"/>
      </w:pPr>
      <w:rPr>
        <w:rFonts w:ascii="Arial" w:cs="Arial" w:eastAsia="Arial" w:hAnsi="Arial"/>
      </w:rPr>
    </w:lvl>
    <w:lvl w:ilvl="6">
      <w:start w:val="1"/>
      <w:numFmt w:val="bullet"/>
      <w:lvlText w:val="●"/>
      <w:lvlJc w:val="left"/>
      <w:pPr>
        <w:ind w:left="5459" w:firstLine="5099"/>
      </w:pPr>
      <w:rPr>
        <w:rFonts w:ascii="Arial" w:cs="Arial" w:eastAsia="Arial" w:hAnsi="Arial"/>
      </w:rPr>
    </w:lvl>
    <w:lvl w:ilvl="7">
      <w:start w:val="1"/>
      <w:numFmt w:val="bullet"/>
      <w:lvlText w:val="o"/>
      <w:lvlJc w:val="left"/>
      <w:pPr>
        <w:ind w:left="6179" w:firstLine="5819"/>
      </w:pPr>
      <w:rPr>
        <w:rFonts w:ascii="Arial" w:cs="Arial" w:eastAsia="Arial" w:hAnsi="Arial"/>
      </w:rPr>
    </w:lvl>
    <w:lvl w:ilvl="8">
      <w:start w:val="1"/>
      <w:numFmt w:val="bullet"/>
      <w:lvlText w:val="▪"/>
      <w:lvlJc w:val="left"/>
      <w:pPr>
        <w:ind w:left="6899" w:firstLine="6539"/>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200" w:before="0" w:line="276" w:lineRule="auto"/>
    </w:pPr>
    <w:rPr>
      <w:rFonts w:ascii="Cambria" w:cs="Cambria" w:eastAsia="Cambria" w:hAnsi="Cambria"/>
      <w:b w:val="0"/>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fda.gov/BiologicsBloodVaccines/DevelopmentApprovalProcess/InvestigationalNewDrugINDorDeviceExemptionIDEProcess/" TargetMode="External"/><Relationship Id="rId10" Type="http://schemas.openxmlformats.org/officeDocument/2006/relationships/hyperlink" Target="http://www.fda.gov/BiologicsBloodVaccines/DevelopmentApprovalProcess/InvestigationalNewDrugINDorDeviceExemptionIDEProcess/" TargetMode="External"/><Relationship Id="rId21" Type="http://schemas.openxmlformats.org/officeDocument/2006/relationships/footer" Target="footer1.xml"/><Relationship Id="rId13" Type="http://schemas.openxmlformats.org/officeDocument/2006/relationships/hyperlink" Target="http://www.fda.gov/safety/medwatch/howtoreport/ucm053087.htm" TargetMode="External"/><Relationship Id="rId12" Type="http://schemas.openxmlformats.org/officeDocument/2006/relationships/hyperlink" Target="http://www.fda.gov/safety/medwatch/howtoreport/ucm053087.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da.gov/BiologicsBloodVaccines/DevelopmentApprovalProcess/InvestigationalNewDrugINDorDeviceExemptionIDEProcess/" TargetMode="External"/><Relationship Id="rId15" Type="http://schemas.openxmlformats.org/officeDocument/2006/relationships/hyperlink" Target="http://www.ich.org/" TargetMode="External"/><Relationship Id="rId14" Type="http://schemas.openxmlformats.org/officeDocument/2006/relationships/hyperlink" Target="http://www.fda.gov/safety/medwatch/howtoreport/ucm053087.htm" TargetMode="External"/><Relationship Id="rId17" Type="http://schemas.openxmlformats.org/officeDocument/2006/relationships/hyperlink" Target="http://www.hhs.gov/ohrp/policy/advevntguid.html#Q2" TargetMode="External"/><Relationship Id="rId16" Type="http://schemas.openxmlformats.org/officeDocument/2006/relationships/hyperlink" Target="http://www.ich.org/" TargetMode="External"/><Relationship Id="rId5" Type="http://schemas.openxmlformats.org/officeDocument/2006/relationships/hyperlink" Target="http://medicine.umich.edu/medschool/research/office-research/institutional-review-boards/guidance/glossary" TargetMode="External"/><Relationship Id="rId19" Type="http://schemas.openxmlformats.org/officeDocument/2006/relationships/hyperlink" Target="http://medicine.umich.edu/medschool/research/office-research/institutional-review-boards/guidance/adverse-events-aes-other-reportable-information-and-occurrences-orios-and-other-required-reporting/adverse-event-reporting/study-specific-adverse-event-ae-rep" TargetMode="External"/><Relationship Id="rId6" Type="http://schemas.openxmlformats.org/officeDocument/2006/relationships/hyperlink" Target="http://www.fda.gov/downloads/Drugs/.../Guidances/UCM227351.pdf" TargetMode="External"/><Relationship Id="rId18" Type="http://schemas.openxmlformats.org/officeDocument/2006/relationships/hyperlink" Target="http://medicine.umich.edu/medschool/research/office-research/institutional-review-boards/guidance/adverse-events-aes-other-reportable-information-and-occurrences-orios-and-other-required-reporting" TargetMode="External"/><Relationship Id="rId7" Type="http://schemas.openxmlformats.org/officeDocument/2006/relationships/hyperlink" Target="http://www.fda.gov/downloads/Drugs/.../Guidances/UCM227351.pdf" TargetMode="External"/><Relationship Id="rId8" Type="http://schemas.openxmlformats.org/officeDocument/2006/relationships/hyperlink" Target="http://www.fda.gov/downloads/Drugs/.../Guidances/UCM22735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