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Data Collection</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(SOP) describes the processes and procedures for methodical collection of clinical trial subject data to ensure its integrity and quality.</w:t>
      </w:r>
    </w:p>
    <w:p w:rsidR="00000000" w:rsidDel="00000000" w:rsidP="00000000" w:rsidRDefault="00000000" w:rsidRPr="00000000">
      <w:pPr>
        <w:spacing w:after="0" w:line="240" w:lineRule="auto"/>
        <w:ind w:left="288"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288" w:right="936" w:firstLine="0"/>
        <w:contextualSpacing w:val="0"/>
      </w:pPr>
      <w:r w:rsidDel="00000000" w:rsidR="00000000" w:rsidRPr="00000000">
        <w:rPr>
          <w:rtl w:val="0"/>
        </w:rPr>
        <w:t xml:space="preserve">This Standard Operating Procedure applies to all members of the research team involved with the collection of clinical trial subject data including the identification, creation and maintenance of source documents. It describes the responsibilities, processes, and procedures pertaining to the collection, transcription, and secure storage of clinical trial subject data. The collection and archival of clinical trial study documentation are not within the scope of this Standard Operating Procedure.</w:t>
      </w:r>
    </w:p>
    <w:p w:rsidR="00000000" w:rsidDel="00000000" w:rsidP="00000000" w:rsidRDefault="00000000" w:rsidRPr="00000000">
      <w:pPr>
        <w:spacing w:after="0" w:line="240" w:lineRule="auto"/>
        <w:ind w:left="288"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2.10 </w:t>
      </w:r>
      <w:r w:rsidDel="00000000" w:rsidR="00000000" w:rsidRPr="00000000">
        <w:rPr>
          <w:i w:val="1"/>
          <w:rtl w:val="0"/>
        </w:rPr>
        <w:t xml:space="preserve">All clinical trial information should be recorded, handled, and stored in a way that allows its accurate reporting, interpretation and verification</w:t>
      </w:r>
      <w:r w:rsidDel="00000000" w:rsidR="00000000" w:rsidRPr="00000000">
        <w:rPr>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2.11 </w:t>
      </w:r>
      <w:r w:rsidDel="00000000" w:rsidR="00000000" w:rsidRPr="00000000">
        <w:rPr>
          <w:i w:val="1"/>
          <w:rtl w:val="0"/>
        </w:rPr>
        <w:t xml:space="preserve">The confidentiality of records that could identify subjects should be protected, respecting the privacy and confidentiality rules in accordance with the applicable regulatory requirement(s)</w:t>
      </w:r>
      <w:r w:rsidDel="00000000" w:rsidR="00000000" w:rsidRPr="00000000">
        <w:rPr>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4.9.1 </w:t>
      </w:r>
      <w:r w:rsidDel="00000000" w:rsidR="00000000" w:rsidRPr="00000000">
        <w:rPr>
          <w:i w:val="1"/>
          <w:rtl w:val="0"/>
        </w:rPr>
        <w:t xml:space="preserve">The investigator should ensure the accuracy, completeness, legibility, and timeliness of the data reported to the sponsor in the CRFs and in all required reports</w:t>
      </w:r>
      <w:r w:rsidDel="00000000" w:rsidR="00000000" w:rsidRPr="00000000">
        <w:rPr>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4.9.2 </w:t>
      </w:r>
      <w:r w:rsidDel="00000000" w:rsidR="00000000" w:rsidRPr="00000000">
        <w:rPr>
          <w:i w:val="1"/>
          <w:rtl w:val="0"/>
        </w:rPr>
        <w:t xml:space="preserve">Data reported on the CRF, that are derived from source documents, should be consistent with the source documents or the discrepancies should be explained.</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4.9.3 </w:t>
      </w:r>
      <w:r w:rsidDel="00000000" w:rsidR="00000000" w:rsidRPr="00000000">
        <w:rPr>
          <w:i w:val="1"/>
          <w:rtl w:val="0"/>
        </w:rPr>
        <w:t xml:space="preserve">Any change or correction to a CRF should be dated, initialed, and explained (if necessary) and should not obscure the original entry (i.e., an audit trail should be maintained); this applies to both written and electronic changes or corrections. (see 5.18.4 (n)).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Section E6. 4.9.7 </w:t>
      </w:r>
      <w:r w:rsidDel="00000000" w:rsidR="00000000" w:rsidRPr="00000000">
        <w:rPr>
          <w:i w:val="1"/>
          <w:rtl w:val="0"/>
        </w:rPr>
        <w:t xml:space="preserve">Upon request of the monitor, auditor, IRB/IEC, or regulatory authority, the investigator/institution should make available for direct access all requested trial-related records.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FDA Regulation</w:t>
        <w:tab/>
        <w:tab/>
        <w:tab/>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before="240" w:lineRule="auto"/>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Per CFR part 312 INVESTIGATIONAL NEW DRUG APPLICATION:</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Sec. 312.62 Investigator recordkeeping and record retention.</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(b) Case histories. An investigator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shall document that informed consent was obtained prior to participation in the study.</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Per CFR Part 812 -- INVESTIGATIONAL DEVICE EXEMPTIONS:</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Sec. 812.140 Records. </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(a) Investigator records. A participating investigator shall maintain the following accurate, complete, and current records relating to the investigator's participation in an investigation:</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(3) 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University of Michigan Health System (UMHS) Policies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rtl w:val="0"/>
        </w:rPr>
        <w:t xml:space="preserve">01-04-002 Confidentiality of Patient Information:</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It shall be the policy of the University of Michigan Health System (UMHS) that all information regarding care of the individual patient be maintained in a confidential and secure fashion in accordance with UMHS policies and state and federal law.</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01-04-360 Use of Protected Health Information (PHI) in Research: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It shall be the policy of the University of Michigan Health System (UMHS) to obtain a patient's written authorization or satisfy an exception to the authorization requirement before using or disclosing the patient's PHI for research purposes.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CASE REPORT FORM (CRF):</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A printed, optical, or electronic (eCRF) document designed to record all of the protocol required information to be reported to the sponsor on each trial subject.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DEVICE EXEMPTION (IDE): An investigational device is a device, including a transitional device, that is the object of an investigation. </w:t>
      </w:r>
      <w:r w:rsidDel="00000000" w:rsidR="00000000" w:rsidRPr="00000000">
        <w:rPr>
          <w:rFonts w:ascii="Calibri" w:cs="Calibri" w:eastAsia="Calibri" w:hAnsi="Calibri"/>
          <w:b w:val="0"/>
          <w:color w:val="333333"/>
          <w:sz w:val="22"/>
          <w:szCs w:val="22"/>
          <w:rtl w:val="0"/>
        </w:rPr>
        <w:t xml:space="preserve">Approval by FDA for investigational device exemption (IDE) permits a device that otherwise would be required to comply with a performance standard or to have premarket approval to be shipped lawfully across state and international boundaries for the purpose of conducting investigations of that device.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NEW DRUG APPLICATION (IND): A request for authorization from the Food and Drug Administration (FDA) 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PROTECTED HEALTH INFORMATION (PHI): Individually identifiable health information held or maintained by covered entities, or by business associates acting for the covered entity. PHI is subject to HIPAA Privacy Rule protections. HIPAA Privacy Rule permits researchers to access and use PHI when necessary to conduct research, with certain restrictions.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SOURCE DATA: All information in original records and certified copies of original records or clinical findings, observations, of other activities in a clinical trial necessary for the reconstruction and evaluation of the trial. Source data are contained in source documents (original records or certified copies).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SOURCE DOCUMENT: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rtl w:val="0"/>
        </w:rPr>
        <w:t xml:space="preserve">“Many of the definitions above were obtained from the IRBMed Glossary.  These definitions were current as of 12-Jun-2015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 [Optional: Insert any additional definitions for technical or special terms used within the Standard Operating Procedure that may not be familiar to the lay reader]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Principal Investigator (PI) is accountable for the collection of clinical trial subject data. The Principal Investigator or Designee shall be responsible for the following activities: </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accurate, timely, complete, and secure collection of clinical trial subject data</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Stores clinical trial subject data securely in accordance with applicable regulations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secure transfer of clinical trial subject data </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Shares clinical trial subject data based on local, state, federal and/or sponsor requirements </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Retains clinical trial subject data appropriately based on applicable local, state, federal and/or sponsor requirements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clinical trial subject data are documented and traceable back to the source</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Conducts all data collection activities in a manner that adheres to state, federal and/or University regulations on Protected Health Information (PHI)</w:t>
      </w:r>
    </w:p>
    <w:p w:rsidR="00000000" w:rsidDel="00000000" w:rsidP="00000000" w:rsidRDefault="00000000" w:rsidRPr="00000000">
      <w:pPr>
        <w:widowControl w:val="0"/>
        <w:spacing w:after="0" w:line="239"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720"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widowControl w:val="0"/>
        <w:spacing w:after="0" w:before="0" w:line="239" w:lineRule="auto"/>
        <w:ind w:left="144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Study Coordinator/Designee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Study Coordinator is responsible for the collection of clinical trial subject data. The Study Coordinator or Designee shall be responsible for the following activities: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Performs accurate, timely and complete tracking, collection and recording of subject data including source documentation and Case Report Forms (CRFs) in accordance with applicable regulations and sponsor requirements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modifications and corrections to the clinical trial subject data</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Stores clinical trial subject data in a manner designed to maintain data security and patient privacy requirements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Conducts data collection activities in a manner that adheres to state, federal and/or University regulations on Protected Health Information (PHI)</w:t>
      </w:r>
    </w:p>
    <w:p w:rsidR="00000000" w:rsidDel="00000000" w:rsidP="00000000" w:rsidRDefault="00000000" w:rsidRPr="00000000">
      <w:pPr>
        <w:widowControl w:val="0"/>
        <w:spacing w:after="0" w:line="239"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Collection of Clinical Trial Subject Data</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collect clinical trial subject data through the use of Case Report Forms or source documentation (paper and/or electronic). For example, EKG, lab data, etc. Include processes to ensure the data are accurate, legible, and timely.]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Tracking of Clinical Trial Subject Data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used to track clinical trial subject data including Case Report Forms and source documentation (paper and/or electronic). For example, EKG, lab data, etc.]</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Transcription of Clinical Trial Subject Data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used to transcribe clinical trial subject data collected from source documents to Case Report Forms (paper and/or electronic) based on protocol defined CRF-specific timepoints. Include any processes to ensure the data are accurate, legible, and timely.]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used for source document verification. Include internal quality control measures that ensure data are valid, e.g. data verified by a second party]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used for data entry including any methods utilized to ensure data accuracy. For example, double data entry, verification by another staff member, etc.]</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Storage of Clinical Trial Subject Data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used to securely manage and store clinical trial subject data including Protected Health Information (PHI).]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Good Clinical Practice Guidance Document:</w:t>
      </w:r>
    </w:p>
    <w:p w:rsidR="00000000" w:rsidDel="00000000" w:rsidP="00000000" w:rsidRDefault="00000000" w:rsidRPr="00000000">
      <w:pPr>
        <w:widowControl w:val="0"/>
        <w:spacing w:after="0" w:line="239" w:lineRule="auto"/>
        <w:ind w:left="360" w:right="720" w:firstLine="0"/>
        <w:contextualSpacing w:val="0"/>
      </w:pPr>
      <w:hyperlink r:id="rId6">
        <w:r w:rsidDel="00000000" w:rsidR="00000000" w:rsidRPr="00000000">
          <w:rPr>
            <w:color w:val="0000ff"/>
            <w:u w:val="single"/>
            <w:rtl w:val="0"/>
          </w:rPr>
          <w:t xml:space="preserve">http://www.ich.org/fileadmin/Public_Web_Site/ICH_Products/Guidelines/Efficacy/E6/E6_R1_Guideline.pdf</w:t>
        </w:r>
      </w:hyperlink>
    </w:p>
    <w:p w:rsidR="00000000" w:rsidDel="00000000" w:rsidP="00000000" w:rsidRDefault="00000000" w:rsidRPr="00000000">
      <w:pPr>
        <w:widowControl w:val="0"/>
        <w:spacing w:after="0" w:line="239" w:lineRule="auto"/>
        <w:ind w:right="720"/>
        <w:contextualSpacing w:val="0"/>
      </w:pPr>
      <w:hyperlink r:id="rId7">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Guidance for Industry. Part 11, Electronic Records; Electronic Signatures - Scope and Application: </w:t>
      </w:r>
    </w:p>
    <w:p w:rsidR="00000000" w:rsidDel="00000000" w:rsidP="00000000" w:rsidRDefault="00000000" w:rsidRPr="00000000">
      <w:pPr>
        <w:widowControl w:val="0"/>
        <w:spacing w:after="0" w:line="239" w:lineRule="auto"/>
        <w:ind w:left="360" w:right="720" w:firstLine="0"/>
        <w:contextualSpacing w:val="0"/>
      </w:pPr>
      <w:hyperlink r:id="rId8">
        <w:r w:rsidDel="00000000" w:rsidR="00000000" w:rsidRPr="00000000">
          <w:rPr>
            <w:color w:val="0000ff"/>
            <w:u w:val="single"/>
            <w:rtl w:val="0"/>
          </w:rPr>
          <w:t xml:space="preserve">http://www.accessdata.fda.gov/scripts/cdrh/cfdocs/cfcfr/CFRSearch.cfm?CFRPart=11</w:t>
        </w:r>
      </w:hyperlink>
      <w:hyperlink r:id="rId9">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1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Health System (UMHS) Policies - 01-04-002 Confidentiality of Patient Information: </w:t>
      </w:r>
    </w:p>
    <w:p w:rsidR="00000000" w:rsidDel="00000000" w:rsidP="00000000" w:rsidRDefault="00000000" w:rsidRPr="00000000">
      <w:pPr>
        <w:widowControl w:val="0"/>
        <w:spacing w:after="0" w:line="240" w:lineRule="auto"/>
        <w:ind w:left="360" w:right="720" w:firstLine="0"/>
        <w:contextualSpacing w:val="0"/>
      </w:pPr>
      <w:hyperlink r:id="rId11">
        <w:r w:rsidDel="00000000" w:rsidR="00000000" w:rsidRPr="00000000">
          <w:rPr>
            <w:color w:val="0000ff"/>
            <w:u w:val="single"/>
            <w:rtl w:val="0"/>
          </w:rPr>
          <w:t xml:space="preserve">http://www.med.umich.edu/i/policies/umh/01-04-002.html</w:t>
        </w:r>
      </w:hyperlink>
    </w:p>
    <w:p w:rsidR="00000000" w:rsidDel="00000000" w:rsidP="00000000" w:rsidRDefault="00000000" w:rsidRPr="00000000">
      <w:pPr>
        <w:widowControl w:val="0"/>
        <w:spacing w:after="0" w:line="240" w:lineRule="auto"/>
        <w:ind w:left="360" w:right="720" w:firstLine="0"/>
        <w:contextualSpacing w:val="0"/>
      </w:pPr>
      <w:hyperlink r:id="rId12">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Health System (UMHS) Policies - Compliance -HIPAA Privacy and Security: </w:t>
      </w:r>
    </w:p>
    <w:p w:rsidR="00000000" w:rsidDel="00000000" w:rsidP="00000000" w:rsidRDefault="00000000" w:rsidRPr="00000000">
      <w:pPr>
        <w:widowControl w:val="0"/>
        <w:spacing w:after="0" w:line="240" w:lineRule="auto"/>
        <w:ind w:left="360" w:right="720" w:firstLine="0"/>
        <w:contextualSpacing w:val="0"/>
      </w:pPr>
      <w:hyperlink r:id="rId13">
        <w:r w:rsidDel="00000000" w:rsidR="00000000" w:rsidRPr="00000000">
          <w:rPr>
            <w:color w:val="0000ff"/>
            <w:u w:val="single"/>
            <w:rtl w:val="0"/>
          </w:rPr>
          <w:t xml:space="preserve">http://www.med.umich.edu/i/policies/umh/toc.html#HIPAA</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IRBMed Protected Health Information (PHI):</w:t>
      </w:r>
    </w:p>
    <w:p w:rsidR="00000000" w:rsidDel="00000000" w:rsidP="00000000" w:rsidRDefault="00000000" w:rsidRPr="00000000">
      <w:pPr>
        <w:widowControl w:val="0"/>
        <w:spacing w:after="0" w:line="239" w:lineRule="auto"/>
        <w:ind w:left="360" w:right="720" w:firstLine="0"/>
        <w:contextualSpacing w:val="0"/>
      </w:pPr>
      <w:hyperlink r:id="rId14">
        <w:r w:rsidDel="00000000" w:rsidR="00000000" w:rsidRPr="00000000">
          <w:rPr>
            <w:color w:val="0000ff"/>
            <w:u w:val="single"/>
            <w:rtl w:val="0"/>
          </w:rPr>
          <w:t xml:space="preserve">http://medicine.umich.edu/medschool/research/office-research/institutional-review-boards/privacy-board/protected-health-information-phi</w:t>
        </w:r>
      </w:hyperlink>
      <w:hyperlink r:id="rId15">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16">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IRBMed Record Keeping Guidance:</w:t>
      </w:r>
    </w:p>
    <w:p w:rsidR="00000000" w:rsidDel="00000000" w:rsidP="00000000" w:rsidRDefault="00000000" w:rsidRPr="00000000">
      <w:pPr>
        <w:widowControl w:val="0"/>
        <w:spacing w:after="0" w:line="239" w:lineRule="auto"/>
        <w:ind w:left="360" w:right="720" w:firstLine="0"/>
        <w:contextualSpacing w:val="0"/>
      </w:pPr>
      <w:hyperlink r:id="rId17">
        <w:r w:rsidDel="00000000" w:rsidR="00000000" w:rsidRPr="00000000">
          <w:rPr>
            <w:color w:val="0000ff"/>
            <w:u w:val="single"/>
            <w:rtl w:val="0"/>
          </w:rPr>
          <w:t xml:space="preserve">http://medicine.umich.edu/medschool/research/office-research/institutional-review-boards/guidance/record-keeping-guidelines/</w:t>
        </w:r>
      </w:hyperlink>
      <w:r w:rsidDel="00000000" w:rsidR="00000000" w:rsidRPr="00000000">
        <w:rPr>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 </w:t>
      </w:r>
      <w:r w:rsidDel="00000000" w:rsidR="00000000" w:rsidRPr="00000000">
        <w:rPr>
          <w:b w:val="1"/>
          <w:rtl w:val="0"/>
        </w:rPr>
        <w:t xml:space="preserve">(MANDATORY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left="360" w:right="720" w:firstLine="0"/>
        <w:contextualSpacing w:val="0"/>
      </w:pPr>
      <w:r w:rsidDel="00000000" w:rsidR="00000000" w:rsidRPr="00000000">
        <w:rPr>
          <w:b w:val="1"/>
          <w:rtl w:val="0"/>
        </w:rPr>
        <w:t xml:space="preserve">Appendix A:</w:t>
      </w:r>
      <w:r w:rsidDel="00000000" w:rsidR="00000000" w:rsidRPr="00000000">
        <w:rPr>
          <w:rtl w:val="0"/>
        </w:rPr>
        <w:t xml:space="preserve"> Document Tracking Log </w:t>
        <w:tab/>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t xml:space="preserve"> </w:t>
      </w:r>
      <w:r w:rsidDel="00000000" w:rsidR="00000000" w:rsidRPr="00000000">
        <w:rPr>
          <w:b w:val="1"/>
          <w:rtl w:val="0"/>
        </w:rPr>
        <w:t xml:space="preserve">N/A </w:t>
      </w:r>
    </w:p>
    <w:p w:rsidR="00000000" w:rsidDel="00000000" w:rsidP="00000000" w:rsidRDefault="00000000" w:rsidRPr="00000000">
      <w:pPr>
        <w:spacing w:after="0"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sectPr>
      <w:headerReference r:id="rId18" w:type="default"/>
      <w:footerReference r:id="rId19"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left" w:pos="1905"/>
            </w:tabs>
            <w:spacing w:before="720" w:lineRule="auto"/>
            <w:contextualSpacing w:val="0"/>
          </w:pPr>
          <w:r w:rsidDel="00000000" w:rsidR="00000000" w:rsidRPr="00000000">
            <w:rPr>
              <w:b w:val="1"/>
              <w:rtl w:val="0"/>
            </w:rPr>
            <w:t xml:space="preserve">Data Collection</w:t>
            <w:tab/>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ed.umich.edu/i/policies/umh/01-04-002.html" TargetMode="External"/><Relationship Id="rId10" Type="http://schemas.openxmlformats.org/officeDocument/2006/relationships/hyperlink" Target="http://www.accessdata.fda.gov/scripts/cdrh/cfdocs/cfcfr/CFRSearch.cfm?CFRPart=11" TargetMode="External"/><Relationship Id="rId13" Type="http://schemas.openxmlformats.org/officeDocument/2006/relationships/hyperlink" Target="http://www.med.umich.edu/i/policies/umh/toc.html#HIPAA" TargetMode="External"/><Relationship Id="rId12" Type="http://schemas.openxmlformats.org/officeDocument/2006/relationships/hyperlink" Target="http://www.med.umich.edu/i/policies/umh/01-04-002.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CFRPart=11" TargetMode="External"/><Relationship Id="rId15" Type="http://schemas.openxmlformats.org/officeDocument/2006/relationships/hyperlink" Target="http://medicine.umich.edu/medschool/research/office-research/institutional-review-boards/privacy-board/protected-health-information-phi" TargetMode="External"/><Relationship Id="rId14" Type="http://schemas.openxmlformats.org/officeDocument/2006/relationships/hyperlink" Target="http://medicine.umich.edu/medschool/research/office-research/institutional-review-boards/privacy-board/protected-health-information-phi" TargetMode="External"/><Relationship Id="rId17" Type="http://schemas.openxmlformats.org/officeDocument/2006/relationships/hyperlink" Target="http://medicine.umich.edu/medschool/research/office-research/institutional-review-boards/guidance/record-keeping-guidelines/" TargetMode="External"/><Relationship Id="rId16" Type="http://schemas.openxmlformats.org/officeDocument/2006/relationships/hyperlink" Target="http://medicine.umich.edu/medschool/research/office-research/institutional-review-boards/privacy-board/protected-health-information-phi" TargetMode="External"/><Relationship Id="rId5" Type="http://schemas.openxmlformats.org/officeDocument/2006/relationships/hyperlink" Target="http://medicine.umich.edu/medschool/research/office-research/institutional-review-boards/guidance/glossary" TargetMode="External"/><Relationship Id="rId19" Type="http://schemas.openxmlformats.org/officeDocument/2006/relationships/footer" Target="footer1.xml"/><Relationship Id="rId6" Type="http://schemas.openxmlformats.org/officeDocument/2006/relationships/hyperlink" Target="http://www.ich.org/fileadmin/Public_Web_Site/ICH_Products/Guidelines/Efficacy/E6/E6_R1_Guideline.pdf" TargetMode="External"/><Relationship Id="rId18" Type="http://schemas.openxmlformats.org/officeDocument/2006/relationships/header" Target="header1.xml"/><Relationship Id="rId7" Type="http://schemas.openxmlformats.org/officeDocument/2006/relationships/hyperlink" Target="http://www.ich.org/fileadmin/Public_Web_Site/ICH_Products/Guidelines/Efficacy/E6/E6_R1_Guideline.pdf" TargetMode="External"/><Relationship Id="rId8" Type="http://schemas.openxmlformats.org/officeDocument/2006/relationships/hyperlink" Target="http://www.accessdata.fda.gov/scripts/cdrh/cfdocs/cfcfr/CFRSearch.cfm?CFRPart=11" TargetMode="External"/></Relationships>
</file>