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91440" distT="91440" distL="114300" distR="114300">
                <wp:extent cx="6172200" cy="21336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2269425" y="2719550"/>
                          <a:ext cx="6153149" cy="212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40"/>
                                <w:vertAlign w:val="baseline"/>
                              </w:rPr>
                              <w:t xml:space="preserve">See Page 2 of this document for the Appendix Header Template</w:t>
                            </w:r>
                          </w:p>
                        </w:txbxContent>
                      </wps:txbx>
                      <wps:bodyPr anchorCtr="0" anchor="ctr" bIns="274300" lIns="274300" rIns="274300" tIns="274300"/>
                    </wps:wsp>
                  </a:graphicData>
                </a:graphic>
              </wp:inline>
            </w:drawing>
          </mc:Choice>
          <mc:Fallback>
            <w:drawing>
              <wp:inline distB="91440" distT="91440" distL="114300" distR="114300">
                <wp:extent cx="6172200" cy="21336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10"/>
        </w:tabs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ab/>
      </w:r>
    </w:p>
    <w:sectPr>
      <w:headerReference r:id="rId6" w:type="default"/>
      <w:headerReference r:id="rId7" w:type="first"/>
      <w:footerReference r:id="rId8" w:type="default"/>
      <w:pgSz w:h="15840" w:w="12240"/>
      <w:pgMar w:bottom="1440" w:top="1440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60" w:hRule="atLeast"/>
      </w:trPr>
      <w:tc>
        <w:tcPr>
          <w:gridSpan w:val="4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  <w:jc w:val="center"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Appendix</w:t>
          </w:r>
          <w:r w:rsidDel="00000000" w:rsidR="00000000" w:rsidRPr="00000000">
            <w:rPr>
              <w:color w:val="00b0f0"/>
              <w:rtl w:val="0"/>
            </w:rPr>
            <w:t xml:space="preserve"> [Insert Appendix Identifier and Name]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title of the Standard Operating Procedure]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C:  Appendix Header Template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Development, Implementation, and Maintenance of Standard Operating Procedures (SOPs)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